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A" w:rsidRPr="0065476B" w:rsidRDefault="00847F3A" w:rsidP="00847F3A">
      <w:pPr>
        <w:jc w:val="center"/>
        <w:rPr>
          <w:rFonts w:cstheme="minorHAnsi"/>
          <w:sz w:val="28"/>
        </w:rPr>
      </w:pPr>
    </w:p>
    <w:p w:rsidR="00F973F0" w:rsidRPr="004066C1" w:rsidRDefault="00284E68" w:rsidP="005429CB">
      <w:pPr>
        <w:jc w:val="center"/>
        <w:rPr>
          <w:rFonts w:ascii="Verdana" w:hAnsi="Verdana"/>
          <w:color w:val="000000"/>
        </w:rPr>
      </w:pPr>
      <w:r w:rsidRPr="00284E68">
        <w:rPr>
          <w:rFonts w:ascii="Verdana" w:hAnsi="Verdana"/>
          <w:b/>
          <w:color w:val="000000"/>
          <w:sz w:val="28"/>
        </w:rPr>
        <w:t xml:space="preserve">Evaluating Mathematics Competencies of freshmen by diagnostic pre- and post- e-assessments </w:t>
      </w:r>
      <w:r w:rsidR="002D64BD">
        <w:rPr>
          <w:rFonts w:ascii="Verdana" w:hAnsi="Verdana"/>
          <w:b/>
          <w:color w:val="000000"/>
          <w:sz w:val="28"/>
        </w:rPr>
        <w:t>throughout the</w:t>
      </w:r>
      <w:r w:rsidRPr="00284E68">
        <w:rPr>
          <w:rFonts w:ascii="Verdana" w:hAnsi="Verdana"/>
          <w:b/>
          <w:color w:val="000000"/>
          <w:sz w:val="28"/>
        </w:rPr>
        <w:t xml:space="preserve"> blended learning mode</w:t>
      </w:r>
    </w:p>
    <w:p w:rsidR="00F973F0" w:rsidRPr="004066C1" w:rsidRDefault="00F973F0">
      <w:pPr>
        <w:jc w:val="center"/>
        <w:rPr>
          <w:rFonts w:ascii="Verdana" w:hAnsi="Verdana"/>
          <w:color w:val="000000"/>
        </w:rPr>
      </w:pPr>
    </w:p>
    <w:p w:rsidR="00284E68" w:rsidRDefault="00284E68" w:rsidP="004066C1">
      <w:pPr>
        <w:jc w:val="center"/>
        <w:rPr>
          <w:rFonts w:ascii="Verdana" w:hAnsi="Verdana"/>
          <w:color w:val="000000"/>
        </w:rPr>
      </w:pPr>
      <w:r w:rsidRPr="00284E68">
        <w:rPr>
          <w:rFonts w:ascii="Verdana" w:hAnsi="Verdana"/>
          <w:color w:val="000000"/>
        </w:rPr>
        <w:t>K.H. Chung, Louisa W.M. Wong, C.K. Chan</w:t>
      </w:r>
    </w:p>
    <w:p w:rsidR="00E75AE5" w:rsidRPr="004066C1" w:rsidRDefault="00284E68" w:rsidP="004066C1">
      <w:pPr>
        <w:jc w:val="center"/>
        <w:rPr>
          <w:rFonts w:ascii="Verdana" w:hAnsi="Verdana"/>
          <w:color w:val="000000"/>
        </w:rPr>
      </w:pPr>
      <w:r w:rsidRPr="00284E68">
        <w:rPr>
          <w:rFonts w:ascii="Verdana" w:hAnsi="Verdana"/>
          <w:color w:val="000000"/>
        </w:rPr>
        <w:t>Department of Applied Mathematics,</w:t>
      </w:r>
      <w:r w:rsidR="00825816">
        <w:rPr>
          <w:rFonts w:ascii="Verdana" w:hAnsi="Verdana"/>
          <w:color w:val="000000"/>
        </w:rPr>
        <w:br/>
      </w:r>
      <w:r w:rsidRPr="00284E68">
        <w:rPr>
          <w:rFonts w:ascii="Verdana" w:hAnsi="Verdana"/>
          <w:color w:val="000000"/>
        </w:rPr>
        <w:t xml:space="preserve">The Hong Kong Polytechnic University, Hung </w:t>
      </w:r>
      <w:proofErr w:type="spellStart"/>
      <w:r w:rsidRPr="00284E68">
        <w:rPr>
          <w:rFonts w:ascii="Verdana" w:hAnsi="Verdana"/>
          <w:color w:val="000000"/>
        </w:rPr>
        <w:t>Hom</w:t>
      </w:r>
      <w:proofErr w:type="spellEnd"/>
      <w:r w:rsidRPr="00284E68">
        <w:rPr>
          <w:rFonts w:ascii="Verdana" w:hAnsi="Verdana"/>
          <w:color w:val="000000"/>
        </w:rPr>
        <w:t>, Hong Kong</w:t>
      </w:r>
      <w:r w:rsidR="004066C1">
        <w:rPr>
          <w:rFonts w:ascii="Verdana" w:hAnsi="Verdana"/>
          <w:i/>
          <w:color w:val="000000"/>
        </w:rPr>
        <w:br/>
      </w:r>
      <w:r w:rsidRPr="00284E68">
        <w:rPr>
          <w:rFonts w:ascii="Verdana" w:hAnsi="Verdana"/>
          <w:color w:val="000000"/>
        </w:rPr>
        <w:t>Email: machung@polyu.edu.hk</w:t>
      </w:r>
    </w:p>
    <w:p w:rsidR="00F973F0" w:rsidRPr="004066C1" w:rsidRDefault="00F973F0">
      <w:pPr>
        <w:rPr>
          <w:rFonts w:ascii="Verdana" w:hAnsi="Verdana"/>
          <w:b/>
          <w:color w:val="000000"/>
        </w:rPr>
      </w:pPr>
    </w:p>
    <w:p w:rsidR="00F973F0" w:rsidRPr="004066C1" w:rsidRDefault="00F973F0">
      <w:pPr>
        <w:rPr>
          <w:rFonts w:ascii="Verdana" w:hAnsi="Verdana"/>
        </w:rPr>
      </w:pPr>
    </w:p>
    <w:p w:rsidR="00E75AE5" w:rsidRPr="004066C1" w:rsidRDefault="00E75AE5" w:rsidP="00912855">
      <w:pPr>
        <w:pStyle w:val="Header1"/>
        <w:rPr>
          <w:rFonts w:ascii="Verdana" w:hAnsi="Verdana"/>
        </w:rPr>
      </w:pPr>
      <w:r w:rsidRPr="004066C1">
        <w:rPr>
          <w:rFonts w:ascii="Verdana" w:hAnsi="Verdana"/>
        </w:rPr>
        <w:t>Abstract</w:t>
      </w:r>
    </w:p>
    <w:p w:rsidR="00E75AE5" w:rsidRPr="00B75305" w:rsidRDefault="005E2C1B" w:rsidP="006D75AA">
      <w:pPr>
        <w:pStyle w:val="Body"/>
        <w:rPr>
          <w:rFonts w:ascii="Verdana" w:hAnsi="Verdana"/>
        </w:rPr>
      </w:pPr>
      <w:r>
        <w:rPr>
          <w:rFonts w:ascii="Verdana" w:hAnsi="Verdana"/>
        </w:rPr>
        <w:t>In line</w:t>
      </w:r>
      <w:r w:rsidR="00B77535">
        <w:rPr>
          <w:rFonts w:ascii="Verdana" w:hAnsi="Verdana"/>
        </w:rPr>
        <w:t xml:space="preserve"> with strategic objectives of </w:t>
      </w:r>
      <w:r w:rsidR="00BC5FE9">
        <w:rPr>
          <w:rFonts w:ascii="Verdana" w:hAnsi="Verdana"/>
        </w:rPr>
        <w:t>T</w:t>
      </w:r>
      <w:r w:rsidR="00B77535">
        <w:rPr>
          <w:rFonts w:ascii="Verdana" w:hAnsi="Verdana"/>
        </w:rPr>
        <w:t xml:space="preserve">he </w:t>
      </w:r>
      <w:r w:rsidR="004A441D">
        <w:rPr>
          <w:rFonts w:ascii="Verdana" w:hAnsi="Verdana"/>
        </w:rPr>
        <w:t>Hong Kong Polytechnic University (</w:t>
      </w:r>
      <w:proofErr w:type="spellStart"/>
      <w:r w:rsidR="00B77535">
        <w:rPr>
          <w:rFonts w:ascii="Verdana" w:hAnsi="Verdana"/>
        </w:rPr>
        <w:t>PolyU</w:t>
      </w:r>
      <w:proofErr w:type="spellEnd"/>
      <w:r w:rsidR="004A441D">
        <w:rPr>
          <w:rFonts w:ascii="Verdana" w:hAnsi="Verdana"/>
        </w:rPr>
        <w:t>)</w:t>
      </w:r>
      <w:r w:rsidR="00B77535">
        <w:rPr>
          <w:rFonts w:ascii="Verdana" w:hAnsi="Verdana"/>
        </w:rPr>
        <w:t>, in addressing th</w:t>
      </w:r>
      <w:r w:rsidR="00DC55B4">
        <w:rPr>
          <w:rFonts w:ascii="Verdana" w:hAnsi="Verdana"/>
        </w:rPr>
        <w:t>e</w:t>
      </w:r>
      <w:r w:rsidR="00B77535">
        <w:rPr>
          <w:rFonts w:ascii="Verdana" w:hAnsi="Verdana"/>
        </w:rPr>
        <w:t xml:space="preserve"> major educational development needs of the university</w:t>
      </w:r>
      <w:r w:rsidR="004A441D">
        <w:rPr>
          <w:rFonts w:ascii="Verdana" w:hAnsi="Verdana"/>
        </w:rPr>
        <w:t xml:space="preserve"> due to the </w:t>
      </w:r>
      <w:r w:rsidR="00484D23">
        <w:rPr>
          <w:rFonts w:ascii="Verdana" w:hAnsi="Verdana"/>
        </w:rPr>
        <w:t xml:space="preserve">adoption of </w:t>
      </w:r>
      <w:r w:rsidR="00BC5FE9">
        <w:rPr>
          <w:rFonts w:ascii="Verdana" w:hAnsi="Verdana"/>
        </w:rPr>
        <w:t xml:space="preserve">a </w:t>
      </w:r>
      <w:r w:rsidR="00484D23">
        <w:rPr>
          <w:rFonts w:ascii="Verdana" w:hAnsi="Verdana"/>
        </w:rPr>
        <w:t>new four</w:t>
      </w:r>
      <w:r w:rsidR="004A441D">
        <w:rPr>
          <w:rFonts w:ascii="Verdana" w:hAnsi="Verdana"/>
        </w:rPr>
        <w:t>-year university curriculum since September 2012</w:t>
      </w:r>
      <w:r w:rsidR="00B77535">
        <w:rPr>
          <w:rFonts w:ascii="Verdana" w:hAnsi="Verdana"/>
        </w:rPr>
        <w:t>, institutional-wide diagnostic e-assessments and e-learning packages ha</w:t>
      </w:r>
      <w:r w:rsidR="004A441D">
        <w:rPr>
          <w:rFonts w:ascii="Verdana" w:hAnsi="Verdana"/>
        </w:rPr>
        <w:t>ve</w:t>
      </w:r>
      <w:r w:rsidR="00B77535">
        <w:rPr>
          <w:rFonts w:ascii="Verdana" w:hAnsi="Verdana"/>
        </w:rPr>
        <w:t xml:space="preserve"> been</w:t>
      </w:r>
      <w:r w:rsidR="004A441D">
        <w:rPr>
          <w:rFonts w:ascii="Verdana" w:hAnsi="Verdana"/>
        </w:rPr>
        <w:t xml:space="preserve"> developed.</w:t>
      </w:r>
      <w:r w:rsidR="00B77535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 </w:t>
      </w:r>
      <w:r w:rsidR="00B75305" w:rsidRPr="00B75305">
        <w:rPr>
          <w:rFonts w:ascii="Verdana" w:hAnsi="Verdana"/>
        </w:rPr>
        <w:t>This pape</w:t>
      </w:r>
      <w:r w:rsidR="0002552C">
        <w:rPr>
          <w:rFonts w:ascii="Verdana" w:hAnsi="Verdana"/>
        </w:rPr>
        <w:t xml:space="preserve">r </w:t>
      </w:r>
      <w:r w:rsidR="00D772E9">
        <w:rPr>
          <w:rFonts w:ascii="Verdana" w:hAnsi="Verdana"/>
        </w:rPr>
        <w:t xml:space="preserve">describes </w:t>
      </w:r>
      <w:r w:rsidR="0002552C">
        <w:rPr>
          <w:rFonts w:ascii="Verdana" w:hAnsi="Verdana"/>
        </w:rPr>
        <w:t>the</w:t>
      </w:r>
      <w:r w:rsidR="00D02589">
        <w:rPr>
          <w:rFonts w:ascii="Verdana" w:hAnsi="Verdana"/>
        </w:rPr>
        <w:t xml:space="preserve"> </w:t>
      </w:r>
      <w:r w:rsidR="00D772E9">
        <w:rPr>
          <w:rFonts w:ascii="Verdana" w:hAnsi="Verdana"/>
        </w:rPr>
        <w:t xml:space="preserve">extension </w:t>
      </w:r>
      <w:r w:rsidR="00D02589">
        <w:rPr>
          <w:rFonts w:ascii="Verdana" w:hAnsi="Verdana"/>
        </w:rPr>
        <w:t>of th</w:t>
      </w:r>
      <w:r w:rsidR="00B84D56">
        <w:rPr>
          <w:rFonts w:ascii="Verdana" w:hAnsi="Verdana"/>
        </w:rPr>
        <w:t>is institutional</w:t>
      </w:r>
      <w:r w:rsidR="00D02589">
        <w:rPr>
          <w:rFonts w:ascii="Verdana" w:hAnsi="Verdana"/>
        </w:rPr>
        <w:t xml:space="preserve"> project</w:t>
      </w:r>
      <w:r w:rsidR="00BC5FE9">
        <w:rPr>
          <w:rFonts w:ascii="Verdana" w:hAnsi="Verdana"/>
        </w:rPr>
        <w:t xml:space="preserve"> involving several Department</w:t>
      </w:r>
      <w:r w:rsidR="006D75AA">
        <w:rPr>
          <w:rFonts w:ascii="Verdana" w:hAnsi="Verdana"/>
        </w:rPr>
        <w:t>s</w:t>
      </w:r>
      <w:r w:rsidR="00BC5FE9">
        <w:rPr>
          <w:rFonts w:ascii="Verdana" w:hAnsi="Verdana"/>
        </w:rPr>
        <w:t xml:space="preserve"> of the </w:t>
      </w:r>
      <w:r w:rsidR="006D75AA">
        <w:rPr>
          <w:rFonts w:ascii="Verdana" w:hAnsi="Verdana"/>
        </w:rPr>
        <w:t>U</w:t>
      </w:r>
      <w:r w:rsidR="00BC5FE9">
        <w:rPr>
          <w:rFonts w:ascii="Verdana" w:hAnsi="Verdana"/>
        </w:rPr>
        <w:t>niversity</w:t>
      </w:r>
      <w:r w:rsidR="00F00B43">
        <w:rPr>
          <w:rFonts w:ascii="Verdana" w:hAnsi="Verdana"/>
        </w:rPr>
        <w:t>,</w:t>
      </w:r>
      <w:r w:rsidR="00D97D9A">
        <w:rPr>
          <w:rFonts w:ascii="Verdana" w:hAnsi="Verdana"/>
        </w:rPr>
        <w:t xml:space="preserve"> conducted by the </w:t>
      </w:r>
      <w:r w:rsidR="00DC55B4">
        <w:rPr>
          <w:rFonts w:ascii="Verdana" w:hAnsi="Verdana"/>
        </w:rPr>
        <w:t xml:space="preserve">Department of </w:t>
      </w:r>
      <w:r w:rsidR="00D97D9A">
        <w:rPr>
          <w:rFonts w:ascii="Verdana" w:hAnsi="Verdana"/>
        </w:rPr>
        <w:t xml:space="preserve">Applied Mathematics (AMA), mainly on conducting the pre- and post-e-assessments to </w:t>
      </w:r>
      <w:r w:rsidR="0002552C">
        <w:rPr>
          <w:rFonts w:ascii="Verdana" w:hAnsi="Verdana"/>
        </w:rPr>
        <w:t>evaluate</w:t>
      </w:r>
      <w:r w:rsidR="00D772E9">
        <w:rPr>
          <w:rFonts w:ascii="Verdana" w:hAnsi="Verdana"/>
        </w:rPr>
        <w:t xml:space="preserve"> freshmen</w:t>
      </w:r>
      <w:r w:rsidR="00E9472C">
        <w:rPr>
          <w:rFonts w:ascii="Verdana" w:hAnsi="Verdana"/>
        </w:rPr>
        <w:t>’s</w:t>
      </w:r>
      <w:r w:rsidR="0002552C">
        <w:rPr>
          <w:rFonts w:ascii="Verdana" w:hAnsi="Verdana"/>
        </w:rPr>
        <w:t xml:space="preserve"> performance in blended learning mode and</w:t>
      </w:r>
      <w:r w:rsidR="00D97D9A">
        <w:rPr>
          <w:rFonts w:ascii="Verdana" w:hAnsi="Verdana"/>
        </w:rPr>
        <w:t xml:space="preserve"> to understand their e-learning patterns</w:t>
      </w:r>
      <w:r w:rsidR="0002552C">
        <w:rPr>
          <w:rFonts w:ascii="Verdana" w:hAnsi="Verdana"/>
        </w:rPr>
        <w:t>.</w:t>
      </w:r>
      <w:r w:rsidR="00DA1628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 </w:t>
      </w:r>
      <w:r w:rsidR="00B75305" w:rsidRPr="00B75305">
        <w:rPr>
          <w:rFonts w:ascii="Verdana" w:hAnsi="Verdana"/>
        </w:rPr>
        <w:t>Students taking online pre-</w:t>
      </w:r>
      <w:r w:rsidR="002A04C9">
        <w:rPr>
          <w:rFonts w:ascii="Verdana" w:hAnsi="Verdana"/>
        </w:rPr>
        <w:t xml:space="preserve">diagnostic </w:t>
      </w:r>
      <w:r w:rsidR="00B75305" w:rsidRPr="00B75305">
        <w:rPr>
          <w:rFonts w:ascii="Verdana" w:hAnsi="Verdana"/>
        </w:rPr>
        <w:t xml:space="preserve">tests at the beginning of </w:t>
      </w:r>
      <w:r w:rsidR="00BC5FE9">
        <w:rPr>
          <w:rFonts w:ascii="Verdana" w:hAnsi="Verdana"/>
        </w:rPr>
        <w:t>the semester</w:t>
      </w:r>
      <w:r w:rsidR="00B75305" w:rsidRPr="00B75305">
        <w:rPr>
          <w:rFonts w:ascii="Verdana" w:hAnsi="Verdana"/>
        </w:rPr>
        <w:t xml:space="preserve"> were informed of their performance and provided with e-learning materials accordingly.</w:t>
      </w:r>
      <w:r w:rsidR="00BC5FE9">
        <w:rPr>
          <w:rFonts w:ascii="Verdana" w:hAnsi="Verdana"/>
        </w:rPr>
        <w:t xml:space="preserve"> </w:t>
      </w:r>
      <w:r w:rsidR="00B75305" w:rsidRPr="00B75305">
        <w:rPr>
          <w:rFonts w:ascii="Verdana" w:hAnsi="Verdana"/>
        </w:rPr>
        <w:t xml:space="preserve"> Towards the end of the first sem</w:t>
      </w:r>
      <w:r w:rsidR="002A04C9">
        <w:rPr>
          <w:rFonts w:ascii="Verdana" w:hAnsi="Verdana"/>
        </w:rPr>
        <w:t>ester, students’ pre- and post-DT scores</w:t>
      </w:r>
      <w:r w:rsidR="00B75305" w:rsidRPr="00B75305">
        <w:rPr>
          <w:rFonts w:ascii="Verdana" w:hAnsi="Verdana"/>
        </w:rPr>
        <w:t xml:space="preserve"> were compared. </w:t>
      </w:r>
      <w:r w:rsidR="00BC5FE9">
        <w:rPr>
          <w:rFonts w:ascii="Verdana" w:hAnsi="Verdana"/>
        </w:rPr>
        <w:t xml:space="preserve"> </w:t>
      </w:r>
      <w:r w:rsidR="00271B2F">
        <w:rPr>
          <w:rFonts w:ascii="Verdana" w:hAnsi="Verdana"/>
        </w:rPr>
        <w:t xml:space="preserve">Statistical </w:t>
      </w:r>
      <w:r w:rsidR="00271B2F" w:rsidRPr="00271B2F">
        <w:rPr>
          <w:rFonts w:ascii="Verdana" w:hAnsi="Verdana"/>
          <w:i/>
        </w:rPr>
        <w:t>t</w:t>
      </w:r>
      <w:r w:rsidR="00271B2F">
        <w:rPr>
          <w:rFonts w:ascii="Verdana" w:hAnsi="Verdana"/>
        </w:rPr>
        <w:t>-tests revealed that students had</w:t>
      </w:r>
      <w:r w:rsidR="00581919">
        <w:rPr>
          <w:rFonts w:ascii="Verdana" w:hAnsi="Verdana"/>
        </w:rPr>
        <w:t xml:space="preserve"> improvement in post-DTs</w:t>
      </w:r>
      <w:r w:rsidR="00B75305" w:rsidRPr="00B75305">
        <w:rPr>
          <w:rFonts w:ascii="Verdana" w:hAnsi="Verdana"/>
        </w:rPr>
        <w:t>.</w:t>
      </w:r>
      <w:r w:rsidR="00BC5FE9">
        <w:rPr>
          <w:rFonts w:ascii="Verdana" w:hAnsi="Verdana"/>
        </w:rPr>
        <w:t xml:space="preserve"> </w:t>
      </w:r>
      <w:r w:rsidR="00B75305" w:rsidRPr="00B75305">
        <w:rPr>
          <w:rFonts w:ascii="Verdana" w:hAnsi="Verdana"/>
        </w:rPr>
        <w:t xml:space="preserve"> </w:t>
      </w:r>
      <w:r w:rsidR="007C6BFA">
        <w:rPr>
          <w:rFonts w:ascii="Verdana" w:hAnsi="Verdana"/>
        </w:rPr>
        <w:t>A m</w:t>
      </w:r>
      <w:r w:rsidR="00DF433E">
        <w:rPr>
          <w:rFonts w:ascii="Verdana" w:hAnsi="Verdana"/>
        </w:rPr>
        <w:t xml:space="preserve">ultivariate </w:t>
      </w:r>
      <w:r w:rsidR="00DF433E" w:rsidRPr="00DF433E">
        <w:rPr>
          <w:rFonts w:ascii="Verdana" w:hAnsi="Verdana"/>
          <w:i/>
        </w:rPr>
        <w:t>t</w:t>
      </w:r>
      <w:r w:rsidR="00DF433E">
        <w:rPr>
          <w:rFonts w:ascii="Verdana" w:hAnsi="Verdana"/>
        </w:rPr>
        <w:t xml:space="preserve">-test and Bonferroni </w:t>
      </w:r>
      <w:r w:rsidR="007C6BFA">
        <w:rPr>
          <w:rFonts w:ascii="Verdana" w:hAnsi="Verdana"/>
        </w:rPr>
        <w:t>c</w:t>
      </w:r>
      <w:r w:rsidR="00DF433E">
        <w:rPr>
          <w:rFonts w:ascii="Verdana" w:hAnsi="Verdana"/>
        </w:rPr>
        <w:t xml:space="preserve">onfidence </w:t>
      </w:r>
      <w:r w:rsidR="007C6BFA">
        <w:rPr>
          <w:rFonts w:ascii="Verdana" w:hAnsi="Verdana"/>
        </w:rPr>
        <w:t>i</w:t>
      </w:r>
      <w:r w:rsidR="00DF433E">
        <w:rPr>
          <w:rFonts w:ascii="Verdana" w:hAnsi="Verdana"/>
        </w:rPr>
        <w:t>nterval</w:t>
      </w:r>
      <w:r w:rsidR="007C6BFA">
        <w:rPr>
          <w:rFonts w:ascii="Verdana" w:hAnsi="Verdana"/>
        </w:rPr>
        <w:t>s</w:t>
      </w:r>
      <w:r w:rsidR="00DF433E">
        <w:rPr>
          <w:rFonts w:ascii="Verdana" w:hAnsi="Verdana"/>
        </w:rPr>
        <w:t xml:space="preserve"> </w:t>
      </w:r>
      <w:r w:rsidR="00AC411F">
        <w:rPr>
          <w:rFonts w:ascii="Verdana" w:hAnsi="Verdana"/>
        </w:rPr>
        <w:t>suggest</w:t>
      </w:r>
      <w:r w:rsidR="00DF433E">
        <w:rPr>
          <w:rFonts w:ascii="Verdana" w:hAnsi="Verdana"/>
        </w:rPr>
        <w:t xml:space="preserve">ed that the improvement was contributed by improvement in differential calculus skill. </w:t>
      </w:r>
      <w:r w:rsidR="00BC5FE9">
        <w:rPr>
          <w:rFonts w:ascii="Verdana" w:hAnsi="Verdana"/>
        </w:rPr>
        <w:t xml:space="preserve"> </w:t>
      </w:r>
      <w:r w:rsidR="002D2808">
        <w:rPr>
          <w:rFonts w:ascii="Verdana" w:hAnsi="Verdana"/>
        </w:rPr>
        <w:t>Data</w:t>
      </w:r>
      <w:r w:rsidR="00B75305" w:rsidRPr="00B75305">
        <w:rPr>
          <w:rFonts w:ascii="Verdana" w:hAnsi="Verdana"/>
        </w:rPr>
        <w:t xml:space="preserve"> show that students using e-books regularly </w:t>
      </w:r>
      <w:r w:rsidR="00EC5BA7">
        <w:rPr>
          <w:rFonts w:ascii="Verdana" w:hAnsi="Verdana"/>
        </w:rPr>
        <w:t>tend to have</w:t>
      </w:r>
      <w:r w:rsidR="00B75305" w:rsidRPr="00B75305">
        <w:rPr>
          <w:rFonts w:ascii="Verdana" w:hAnsi="Verdana"/>
        </w:rPr>
        <w:t xml:space="preserve"> </w:t>
      </w:r>
      <w:r w:rsidR="00C57C39">
        <w:rPr>
          <w:rFonts w:ascii="Verdana" w:hAnsi="Verdana"/>
        </w:rPr>
        <w:t>noticeable</w:t>
      </w:r>
      <w:r w:rsidR="00B75305" w:rsidRPr="00B75305">
        <w:rPr>
          <w:rFonts w:ascii="Verdana" w:hAnsi="Verdana"/>
        </w:rPr>
        <w:t xml:space="preserve"> improvement to their post-</w:t>
      </w:r>
      <w:r w:rsidR="00881EDF">
        <w:rPr>
          <w:rFonts w:ascii="Verdana" w:hAnsi="Verdana"/>
        </w:rPr>
        <w:t>DTs</w:t>
      </w:r>
      <w:r w:rsidR="00B75305" w:rsidRPr="00B75305">
        <w:rPr>
          <w:rFonts w:ascii="Verdana" w:hAnsi="Verdana"/>
        </w:rPr>
        <w:t xml:space="preserve"> scores, as compared with those not using the e-books</w:t>
      </w:r>
      <w:r w:rsidR="00B75305" w:rsidRPr="00E917D0">
        <w:rPr>
          <w:rFonts w:ascii="Verdana" w:hAnsi="Verdana"/>
        </w:rPr>
        <w:t xml:space="preserve">. </w:t>
      </w:r>
      <w:r w:rsidR="00BC5FE9" w:rsidRPr="00E917D0">
        <w:rPr>
          <w:rFonts w:ascii="Verdana" w:hAnsi="Verdana"/>
        </w:rPr>
        <w:t xml:space="preserve"> </w:t>
      </w:r>
      <w:r w:rsidR="00B75305" w:rsidRPr="00E917D0">
        <w:rPr>
          <w:rFonts w:ascii="Verdana" w:hAnsi="Verdana"/>
        </w:rPr>
        <w:t xml:space="preserve">To further enhance the e-learning materials based upon pedagogical practice, a more in-depth student feedback questionnaire on e-learning materials </w:t>
      </w:r>
      <w:r w:rsidR="007703CD" w:rsidRPr="00E917D0">
        <w:rPr>
          <w:rFonts w:ascii="Verdana" w:hAnsi="Verdana"/>
        </w:rPr>
        <w:t xml:space="preserve">was adopted </w:t>
      </w:r>
      <w:r w:rsidR="005C4C22" w:rsidRPr="00E917D0">
        <w:rPr>
          <w:rFonts w:ascii="Verdana" w:hAnsi="Verdana"/>
        </w:rPr>
        <w:t xml:space="preserve">in the e-book survey </w:t>
      </w:r>
      <w:r w:rsidR="008A57DD" w:rsidRPr="00E917D0">
        <w:rPr>
          <w:rFonts w:ascii="Verdana" w:hAnsi="Verdana"/>
        </w:rPr>
        <w:t>of</w:t>
      </w:r>
      <w:r w:rsidR="007703CD" w:rsidRPr="00E917D0">
        <w:rPr>
          <w:rFonts w:ascii="Verdana" w:hAnsi="Verdana"/>
        </w:rPr>
        <w:t xml:space="preserve"> 2016.</w:t>
      </w:r>
      <w:r w:rsidR="00BC5FE9" w:rsidRPr="00E917D0">
        <w:rPr>
          <w:rFonts w:ascii="Verdana" w:hAnsi="Verdana"/>
        </w:rPr>
        <w:t xml:space="preserve"> </w:t>
      </w:r>
      <w:r w:rsidR="007703CD" w:rsidRPr="00E917D0">
        <w:rPr>
          <w:rFonts w:ascii="Verdana" w:hAnsi="Verdana"/>
        </w:rPr>
        <w:t xml:space="preserve"> Popularity</w:t>
      </w:r>
      <w:r w:rsidR="007703CD">
        <w:rPr>
          <w:rFonts w:ascii="Verdana" w:hAnsi="Verdana"/>
        </w:rPr>
        <w:t xml:space="preserve"> of </w:t>
      </w:r>
      <w:r w:rsidR="00BC5FE9">
        <w:rPr>
          <w:rFonts w:ascii="Verdana" w:hAnsi="Verdana"/>
        </w:rPr>
        <w:t xml:space="preserve">the </w:t>
      </w:r>
      <w:r w:rsidR="007703CD">
        <w:rPr>
          <w:rFonts w:ascii="Verdana" w:hAnsi="Verdana"/>
        </w:rPr>
        <w:t>e-tools was investigated and g</w:t>
      </w:r>
      <w:r w:rsidR="00B75305" w:rsidRPr="00B75305">
        <w:rPr>
          <w:rFonts w:ascii="Verdana" w:hAnsi="Verdana"/>
        </w:rPr>
        <w:t>eneral feedback from students</w:t>
      </w:r>
      <w:r w:rsidR="007703CD">
        <w:rPr>
          <w:rFonts w:ascii="Verdana" w:hAnsi="Verdana"/>
        </w:rPr>
        <w:t xml:space="preserve"> w</w:t>
      </w:r>
      <w:r w:rsidR="00BC5FE9">
        <w:rPr>
          <w:rFonts w:ascii="Verdana" w:hAnsi="Verdana"/>
        </w:rPr>
        <w:t>as</w:t>
      </w:r>
      <w:r w:rsidR="007703CD">
        <w:rPr>
          <w:rFonts w:ascii="Verdana" w:hAnsi="Verdana"/>
        </w:rPr>
        <w:t xml:space="preserve"> </w:t>
      </w:r>
      <w:r w:rsidR="003C11FE">
        <w:rPr>
          <w:rFonts w:ascii="Verdana" w:hAnsi="Verdana"/>
        </w:rPr>
        <w:t xml:space="preserve">quite </w:t>
      </w:r>
      <w:r w:rsidR="007703CD">
        <w:rPr>
          <w:rFonts w:ascii="Verdana" w:hAnsi="Verdana"/>
        </w:rPr>
        <w:t>positive</w:t>
      </w:r>
      <w:r w:rsidR="00B75305" w:rsidRPr="00B75305">
        <w:rPr>
          <w:rFonts w:ascii="Verdana" w:hAnsi="Verdana"/>
        </w:rPr>
        <w:t>.</w:t>
      </w:r>
    </w:p>
    <w:p w:rsidR="004066C1" w:rsidRPr="002358FF" w:rsidRDefault="002358FF" w:rsidP="00E75AE5">
      <w:pPr>
        <w:pStyle w:val="Header1"/>
        <w:rPr>
          <w:rFonts w:ascii="Verdana" w:hAnsi="Verdana"/>
          <w:sz w:val="20"/>
        </w:rPr>
      </w:pPr>
      <w:r w:rsidRPr="002358FF">
        <w:rPr>
          <w:rFonts w:ascii="Verdana" w:hAnsi="Verdana"/>
          <w:sz w:val="20"/>
        </w:rPr>
        <w:t>Keywords:</w:t>
      </w:r>
      <w:r w:rsidRPr="002358FF">
        <w:rPr>
          <w:rFonts w:ascii="Verdana" w:hAnsi="Verdana"/>
          <w:b w:val="0"/>
          <w:sz w:val="20"/>
        </w:rPr>
        <w:t xml:space="preserve"> Blend</w:t>
      </w:r>
      <w:r w:rsidR="00427714">
        <w:rPr>
          <w:rFonts w:ascii="Verdana" w:hAnsi="Verdana"/>
          <w:b w:val="0"/>
          <w:sz w:val="20"/>
        </w:rPr>
        <w:t>ed</w:t>
      </w:r>
      <w:r w:rsidRPr="002358FF">
        <w:rPr>
          <w:rFonts w:ascii="Verdana" w:hAnsi="Verdana"/>
          <w:b w:val="0"/>
          <w:sz w:val="20"/>
        </w:rPr>
        <w:t xml:space="preserve"> learning, pre- and post-diagnostic assessments, e-learning</w:t>
      </w:r>
    </w:p>
    <w:p w:rsidR="002358FF" w:rsidRDefault="002358FF" w:rsidP="00E75AE5">
      <w:pPr>
        <w:pStyle w:val="Header1"/>
        <w:rPr>
          <w:rFonts w:ascii="Verdana" w:hAnsi="Verdana"/>
        </w:rPr>
      </w:pPr>
    </w:p>
    <w:p w:rsidR="00F973F0" w:rsidRPr="004066C1" w:rsidRDefault="00F973F0" w:rsidP="00594696">
      <w:pPr>
        <w:pStyle w:val="Header1"/>
        <w:rPr>
          <w:rFonts w:ascii="Verdana" w:hAnsi="Verdana"/>
        </w:rPr>
      </w:pPr>
      <w:r w:rsidRPr="004066C1">
        <w:rPr>
          <w:rFonts w:ascii="Verdana" w:hAnsi="Verdana"/>
        </w:rPr>
        <w:t xml:space="preserve">1. </w:t>
      </w:r>
      <w:r w:rsidR="00284E68">
        <w:rPr>
          <w:rFonts w:ascii="Verdana" w:hAnsi="Verdana"/>
        </w:rPr>
        <w:t>Introduction</w:t>
      </w:r>
    </w:p>
    <w:p w:rsidR="00F973F0" w:rsidRDefault="00484D23" w:rsidP="002A3567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The</w:t>
      </w:r>
      <w:r w:rsidR="005014D1">
        <w:rPr>
          <w:rFonts w:ascii="Verdana" w:hAnsi="Verdana"/>
        </w:rPr>
        <w:t xml:space="preserve"> reformed education system </w:t>
      </w:r>
      <w:r w:rsidR="00BC5FE9">
        <w:rPr>
          <w:rFonts w:ascii="Verdana" w:hAnsi="Verdana"/>
        </w:rPr>
        <w:t xml:space="preserve">of Hong Kong </w:t>
      </w:r>
      <w:r w:rsidR="00EE1D94">
        <w:rPr>
          <w:rFonts w:ascii="Verdana" w:hAnsi="Verdana"/>
        </w:rPr>
        <w:t xml:space="preserve">adopted </w:t>
      </w:r>
      <w:r w:rsidR="005014D1">
        <w:rPr>
          <w:rFonts w:ascii="Verdana" w:hAnsi="Verdana"/>
        </w:rPr>
        <w:t>in 2012</w:t>
      </w:r>
      <w:r>
        <w:rPr>
          <w:rFonts w:ascii="Verdana" w:hAnsi="Verdana"/>
        </w:rPr>
        <w:t xml:space="preserve"> has allowed</w:t>
      </w:r>
      <w:r w:rsidR="00F80694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secondary </w:t>
      </w:r>
      <w:r w:rsidR="00F80694">
        <w:rPr>
          <w:rFonts w:ascii="Verdana" w:hAnsi="Verdana"/>
        </w:rPr>
        <w:t>s</w:t>
      </w:r>
      <w:r w:rsidR="008240D2">
        <w:rPr>
          <w:rFonts w:ascii="Verdana" w:hAnsi="Verdana"/>
        </w:rPr>
        <w:t xml:space="preserve">tudents </w:t>
      </w:r>
      <w:r w:rsidR="00BC5FE9">
        <w:rPr>
          <w:rFonts w:ascii="Verdana" w:hAnsi="Verdana"/>
        </w:rPr>
        <w:t xml:space="preserve">to take </w:t>
      </w:r>
      <w:r w:rsidR="00D55C8C">
        <w:rPr>
          <w:rFonts w:ascii="Verdana" w:hAnsi="Verdana"/>
        </w:rPr>
        <w:t>a number of elective subjects and/or extended part</w:t>
      </w:r>
      <w:r w:rsidR="00BC5FE9">
        <w:rPr>
          <w:rFonts w:ascii="Verdana" w:hAnsi="Verdana"/>
        </w:rPr>
        <w:t>s</w:t>
      </w:r>
      <w:r w:rsidR="00D55C8C">
        <w:rPr>
          <w:rFonts w:ascii="Verdana" w:hAnsi="Verdana"/>
        </w:rPr>
        <w:t xml:space="preserve"> of mathematics</w:t>
      </w:r>
      <w:r w:rsidR="00CB31D1">
        <w:rPr>
          <w:rFonts w:ascii="Verdana" w:hAnsi="Verdana"/>
        </w:rPr>
        <w:t xml:space="preserve"> </w:t>
      </w:r>
      <w:r w:rsidR="004F43BA">
        <w:rPr>
          <w:rFonts w:ascii="Verdana" w:hAnsi="Verdana"/>
        </w:rPr>
        <w:t>for</w:t>
      </w:r>
      <w:r w:rsidR="00CB31D1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the </w:t>
      </w:r>
      <w:r w:rsidR="00CB31D1" w:rsidRPr="003009AB">
        <w:rPr>
          <w:rFonts w:ascii="Verdana" w:hAnsi="Verdana"/>
        </w:rPr>
        <w:t>Hong Kong Diploma of Secondary Education Examination</w:t>
      </w:r>
      <w:r w:rsidR="00D55C8C">
        <w:rPr>
          <w:rFonts w:ascii="Verdana" w:hAnsi="Verdana"/>
        </w:rPr>
        <w:t xml:space="preserve"> </w:t>
      </w:r>
      <w:r w:rsidR="00CB31D1">
        <w:rPr>
          <w:rFonts w:ascii="Verdana" w:hAnsi="Verdana"/>
        </w:rPr>
        <w:t xml:space="preserve">(DSE) </w:t>
      </w:r>
      <w:r w:rsidR="00D55C8C">
        <w:rPr>
          <w:rFonts w:ascii="Verdana" w:hAnsi="Verdana"/>
        </w:rPr>
        <w:t>in</w:t>
      </w:r>
      <w:r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its </w:t>
      </w:r>
      <w:r>
        <w:rPr>
          <w:rFonts w:ascii="Verdana" w:hAnsi="Verdana"/>
        </w:rPr>
        <w:t xml:space="preserve">six-year </w:t>
      </w:r>
      <w:r w:rsidR="00D64BCD">
        <w:rPr>
          <w:rFonts w:ascii="Verdana" w:hAnsi="Verdana"/>
        </w:rPr>
        <w:t>secondary school</w:t>
      </w:r>
      <w:r w:rsidR="00E554CE">
        <w:rPr>
          <w:rFonts w:ascii="Verdana" w:hAnsi="Verdana"/>
        </w:rPr>
        <w:t>s</w:t>
      </w:r>
      <w:r w:rsidR="00D55C8C">
        <w:rPr>
          <w:rFonts w:ascii="Verdana" w:hAnsi="Verdana"/>
        </w:rPr>
        <w:t>.</w:t>
      </w:r>
      <w:r w:rsidR="00194B5D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 </w:t>
      </w:r>
      <w:r w:rsidR="00194B5D">
        <w:rPr>
          <w:rFonts w:ascii="Verdana" w:hAnsi="Verdana"/>
        </w:rPr>
        <w:t xml:space="preserve">The extended part of </w:t>
      </w:r>
      <w:r w:rsidR="00E554CE">
        <w:rPr>
          <w:rFonts w:ascii="Verdana" w:hAnsi="Verdana"/>
        </w:rPr>
        <w:t xml:space="preserve">mathematics </w:t>
      </w:r>
      <w:r w:rsidR="00FD09E1">
        <w:rPr>
          <w:rFonts w:ascii="Verdana" w:hAnsi="Verdana"/>
        </w:rPr>
        <w:t xml:space="preserve">DSE </w:t>
      </w:r>
      <w:r w:rsidR="00194B5D">
        <w:rPr>
          <w:rFonts w:ascii="Verdana" w:hAnsi="Verdana"/>
        </w:rPr>
        <w:t xml:space="preserve">has two modules: </w:t>
      </w:r>
      <w:r w:rsidR="00B53FE0">
        <w:rPr>
          <w:rFonts w:ascii="Verdana" w:hAnsi="Verdana"/>
        </w:rPr>
        <w:t>Module 1 (M1) on calculus and statistics</w:t>
      </w:r>
      <w:r w:rsidR="00194B5D">
        <w:rPr>
          <w:rFonts w:ascii="Verdana" w:hAnsi="Verdana"/>
        </w:rPr>
        <w:t xml:space="preserve"> and </w:t>
      </w:r>
      <w:r w:rsidR="00B53FE0">
        <w:rPr>
          <w:rFonts w:ascii="Verdana" w:hAnsi="Verdana"/>
        </w:rPr>
        <w:t>Module 2 (M2) on algebra and calculus.</w:t>
      </w:r>
      <w:r w:rsidR="00D55C8C">
        <w:rPr>
          <w:rFonts w:ascii="Verdana" w:hAnsi="Verdana"/>
        </w:rPr>
        <w:t xml:space="preserve"> </w:t>
      </w:r>
      <w:r w:rsidR="00BC5FE9">
        <w:rPr>
          <w:rFonts w:ascii="Verdana" w:hAnsi="Verdana"/>
        </w:rPr>
        <w:t xml:space="preserve"> </w:t>
      </w:r>
      <w:r w:rsidR="00D55C8C">
        <w:rPr>
          <w:rFonts w:ascii="Verdana" w:hAnsi="Verdana"/>
        </w:rPr>
        <w:t xml:space="preserve">Such changes </w:t>
      </w:r>
      <w:r w:rsidR="00FA6900">
        <w:rPr>
          <w:rFonts w:ascii="Verdana" w:hAnsi="Verdana"/>
        </w:rPr>
        <w:t xml:space="preserve">have admitted </w:t>
      </w:r>
      <w:r w:rsidR="009E3D56">
        <w:rPr>
          <w:rFonts w:ascii="Verdana" w:hAnsi="Verdana"/>
        </w:rPr>
        <w:t>university</w:t>
      </w:r>
      <w:r w:rsidR="009653BF">
        <w:rPr>
          <w:rFonts w:ascii="Verdana" w:hAnsi="Verdana"/>
        </w:rPr>
        <w:t xml:space="preserve"> entrants</w:t>
      </w:r>
      <w:r w:rsidR="00D55C8C">
        <w:rPr>
          <w:rFonts w:ascii="Verdana" w:hAnsi="Verdana"/>
        </w:rPr>
        <w:t xml:space="preserve"> </w:t>
      </w:r>
      <w:r w:rsidR="002A553D">
        <w:rPr>
          <w:rFonts w:ascii="Verdana" w:hAnsi="Verdana"/>
        </w:rPr>
        <w:t xml:space="preserve">with varying </w:t>
      </w:r>
      <w:r w:rsidR="009B43DC" w:rsidRPr="005410AE">
        <w:rPr>
          <w:rFonts w:ascii="Verdana" w:hAnsi="Verdana"/>
        </w:rPr>
        <w:t xml:space="preserve">mathematics </w:t>
      </w:r>
      <w:r w:rsidR="00D55C8C" w:rsidRPr="005410AE">
        <w:rPr>
          <w:rFonts w:ascii="Verdana" w:hAnsi="Verdana"/>
        </w:rPr>
        <w:t>abilities</w:t>
      </w:r>
      <w:r w:rsidR="001765E5">
        <w:rPr>
          <w:rFonts w:ascii="Verdana" w:hAnsi="Verdana"/>
        </w:rPr>
        <w:t xml:space="preserve"> and </w:t>
      </w:r>
      <w:r w:rsidR="00FA6900">
        <w:rPr>
          <w:rFonts w:ascii="Verdana" w:hAnsi="Verdana"/>
        </w:rPr>
        <w:t xml:space="preserve">provided </w:t>
      </w:r>
      <w:r w:rsidR="00436234">
        <w:rPr>
          <w:rFonts w:ascii="Verdana" w:hAnsi="Verdana"/>
        </w:rPr>
        <w:t>a</w:t>
      </w:r>
      <w:r w:rsidR="00F21E99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huge </w:t>
      </w:r>
      <w:r w:rsidR="00F21E99">
        <w:rPr>
          <w:rFonts w:ascii="Verdana" w:hAnsi="Verdana"/>
        </w:rPr>
        <w:t>challenge in mathematics teaching at the university.</w:t>
      </w:r>
      <w:r w:rsidR="00465929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 </w:t>
      </w:r>
      <w:r w:rsidR="008F7357">
        <w:rPr>
          <w:rFonts w:ascii="Verdana" w:hAnsi="Verdana"/>
        </w:rPr>
        <w:t>Under</w:t>
      </w:r>
      <w:r w:rsidR="008B092F">
        <w:rPr>
          <w:rFonts w:ascii="Verdana" w:hAnsi="Verdana"/>
        </w:rPr>
        <w:t xml:space="preserve"> the rapid development of technology, </w:t>
      </w:r>
      <w:proofErr w:type="spellStart"/>
      <w:r w:rsidR="00E66A38" w:rsidRPr="005410AE">
        <w:rPr>
          <w:rFonts w:ascii="Verdana" w:hAnsi="Verdana"/>
        </w:rPr>
        <w:t>Hoic-Bozic</w:t>
      </w:r>
      <w:proofErr w:type="spellEnd"/>
      <w:r w:rsidR="00E66A38" w:rsidRPr="005410AE">
        <w:rPr>
          <w:rFonts w:ascii="Verdana" w:hAnsi="Verdana"/>
        </w:rPr>
        <w:t xml:space="preserve"> et al.</w:t>
      </w:r>
      <w:r w:rsidR="005410AE" w:rsidRPr="005410AE">
        <w:rPr>
          <w:rFonts w:ascii="Verdana" w:hAnsi="Verdana"/>
        </w:rPr>
        <w:t xml:space="preserve"> (2009)</w:t>
      </w:r>
      <w:r w:rsidR="00E66A38" w:rsidRPr="005410AE">
        <w:rPr>
          <w:rFonts w:ascii="Verdana" w:hAnsi="Verdana"/>
        </w:rPr>
        <w:t xml:space="preserve"> suggest</w:t>
      </w:r>
      <w:r w:rsidR="009B43DC" w:rsidRPr="005410AE">
        <w:rPr>
          <w:rFonts w:ascii="Verdana" w:hAnsi="Verdana"/>
        </w:rPr>
        <w:t>ed blended learning support to traditional teaching.</w:t>
      </w:r>
    </w:p>
    <w:p w:rsidR="00CE75DC" w:rsidRDefault="00017965" w:rsidP="002A3567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Hung et al</w:t>
      </w:r>
      <w:r w:rsidR="00955C7D">
        <w:rPr>
          <w:rFonts w:ascii="Verdana" w:hAnsi="Verdana"/>
        </w:rPr>
        <w:t>.</w:t>
      </w:r>
      <w:r>
        <w:rPr>
          <w:rFonts w:ascii="Verdana" w:hAnsi="Verdana"/>
        </w:rPr>
        <w:t xml:space="preserve"> (2015) </w:t>
      </w:r>
      <w:r w:rsidR="00FA6900">
        <w:rPr>
          <w:rFonts w:ascii="Verdana" w:hAnsi="Verdana"/>
        </w:rPr>
        <w:t xml:space="preserve">presented results on </w:t>
      </w:r>
      <w:r>
        <w:rPr>
          <w:rFonts w:ascii="Verdana" w:hAnsi="Verdana"/>
        </w:rPr>
        <w:t xml:space="preserve">institutional-wide diagnostic e-assessments and e-learning packages developed at </w:t>
      </w:r>
      <w:r w:rsidR="00FA6900">
        <w:rPr>
          <w:rFonts w:ascii="Verdana" w:hAnsi="Verdana"/>
        </w:rPr>
        <w:t>T</w:t>
      </w:r>
      <w:r>
        <w:rPr>
          <w:rFonts w:ascii="Verdana" w:hAnsi="Verdana"/>
        </w:rPr>
        <w:t>he Hong Kong Polytechnic University (</w:t>
      </w:r>
      <w:proofErr w:type="spellStart"/>
      <w:r>
        <w:rPr>
          <w:rFonts w:ascii="Verdana" w:hAnsi="Verdana"/>
        </w:rPr>
        <w:t>PolyU</w:t>
      </w:r>
      <w:proofErr w:type="spellEnd"/>
      <w:r>
        <w:rPr>
          <w:rFonts w:ascii="Verdana" w:hAnsi="Verdana"/>
        </w:rPr>
        <w:t>) in 2014 to</w:t>
      </w:r>
      <w:r w:rsidR="00E66A38">
        <w:rPr>
          <w:rFonts w:ascii="Verdana" w:hAnsi="Verdana"/>
        </w:rPr>
        <w:t xml:space="preserve"> address the major educational development needs</w:t>
      </w:r>
      <w:r w:rsidR="008F783A">
        <w:rPr>
          <w:rFonts w:ascii="Verdana" w:hAnsi="Verdana"/>
        </w:rPr>
        <w:t xml:space="preserve"> since 2012</w:t>
      </w:r>
      <w:r w:rsidR="00BF1F54">
        <w:rPr>
          <w:rFonts w:ascii="Verdana" w:hAnsi="Verdana"/>
        </w:rPr>
        <w:t>.</w:t>
      </w:r>
      <w:r w:rsidR="002A24CF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 </w:t>
      </w:r>
      <w:r w:rsidR="008F783A">
        <w:rPr>
          <w:rFonts w:ascii="Verdana" w:hAnsi="Verdana"/>
        </w:rPr>
        <w:t>In particular, t</w:t>
      </w:r>
      <w:r w:rsidR="00BF1F54">
        <w:rPr>
          <w:rFonts w:ascii="Verdana" w:hAnsi="Verdana"/>
        </w:rPr>
        <w:t>he Department of Applied Mathematics (AMA)</w:t>
      </w:r>
      <w:r w:rsidR="004B6F80">
        <w:rPr>
          <w:rFonts w:ascii="Verdana" w:hAnsi="Verdana"/>
        </w:rPr>
        <w:t xml:space="preserve"> </w:t>
      </w:r>
      <w:r w:rsidR="00BF1F54">
        <w:rPr>
          <w:rFonts w:ascii="Verdana" w:hAnsi="Verdana"/>
        </w:rPr>
        <w:t>conducted e-</w:t>
      </w:r>
      <w:r w:rsidR="002A4725">
        <w:rPr>
          <w:rFonts w:ascii="Verdana" w:hAnsi="Verdana"/>
        </w:rPr>
        <w:t xml:space="preserve">diagnostic </w:t>
      </w:r>
      <w:r w:rsidR="00BF1F54">
        <w:rPr>
          <w:rFonts w:ascii="Verdana" w:hAnsi="Verdana"/>
        </w:rPr>
        <w:t>assessment</w:t>
      </w:r>
      <w:r w:rsidR="00E87A3E">
        <w:rPr>
          <w:rFonts w:ascii="Verdana" w:hAnsi="Verdana"/>
        </w:rPr>
        <w:t>s</w:t>
      </w:r>
      <w:r w:rsidR="00BF1F54">
        <w:rPr>
          <w:rFonts w:ascii="Verdana" w:hAnsi="Verdana"/>
        </w:rPr>
        <w:t xml:space="preserve"> and </w:t>
      </w:r>
      <w:r w:rsidR="002A4725">
        <w:rPr>
          <w:rFonts w:ascii="Verdana" w:hAnsi="Verdana"/>
        </w:rPr>
        <w:t xml:space="preserve">investigated </w:t>
      </w:r>
      <w:r w:rsidR="002A24CF">
        <w:rPr>
          <w:rFonts w:ascii="Verdana" w:hAnsi="Verdana"/>
        </w:rPr>
        <w:t>students’ mathematics competencies</w:t>
      </w:r>
      <w:r w:rsidR="002A4725">
        <w:rPr>
          <w:rFonts w:ascii="Verdana" w:hAnsi="Verdana"/>
        </w:rPr>
        <w:t xml:space="preserve"> based</w:t>
      </w:r>
      <w:r w:rsidR="002A24CF">
        <w:rPr>
          <w:rFonts w:ascii="Verdana" w:hAnsi="Verdana"/>
        </w:rPr>
        <w:t xml:space="preserve"> on the e-assessments</w:t>
      </w:r>
      <w:r w:rsidR="00515217">
        <w:rPr>
          <w:rFonts w:ascii="Verdana" w:hAnsi="Verdana"/>
        </w:rPr>
        <w:t xml:space="preserve"> in 2014-15</w:t>
      </w:r>
      <w:r w:rsidR="002A24CF">
        <w:rPr>
          <w:rFonts w:ascii="Verdana" w:hAnsi="Verdana"/>
        </w:rPr>
        <w:t>.</w:t>
      </w:r>
      <w:r w:rsidR="00AD4209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 </w:t>
      </w:r>
      <w:r w:rsidR="00F025D3">
        <w:rPr>
          <w:rFonts w:ascii="Verdana" w:hAnsi="Verdana"/>
        </w:rPr>
        <w:t xml:space="preserve">Ismail et al. (2011) </w:t>
      </w:r>
      <w:r w:rsidR="003919ED">
        <w:rPr>
          <w:rFonts w:ascii="Verdana" w:hAnsi="Verdana"/>
        </w:rPr>
        <w:t>conclud</w:t>
      </w:r>
      <w:r w:rsidR="00F025D3">
        <w:rPr>
          <w:rFonts w:ascii="Verdana" w:hAnsi="Verdana"/>
        </w:rPr>
        <w:t>ed that the self-tests were valuable tools in detecting weakness</w:t>
      </w:r>
      <w:r w:rsidR="00FA6900">
        <w:rPr>
          <w:rFonts w:ascii="Verdana" w:hAnsi="Verdana"/>
        </w:rPr>
        <w:t>es</w:t>
      </w:r>
      <w:r w:rsidR="00F025D3">
        <w:rPr>
          <w:rFonts w:ascii="Verdana" w:hAnsi="Verdana"/>
        </w:rPr>
        <w:t xml:space="preserve"> of students</w:t>
      </w:r>
      <w:r w:rsidR="00950510">
        <w:rPr>
          <w:rFonts w:ascii="Verdana" w:hAnsi="Verdana"/>
        </w:rPr>
        <w:t>, via their experience in pre- and post-</w:t>
      </w:r>
      <w:r w:rsidR="006706F4">
        <w:rPr>
          <w:rFonts w:ascii="Verdana" w:hAnsi="Verdana"/>
        </w:rPr>
        <w:t xml:space="preserve">diagnostic </w:t>
      </w:r>
      <w:r w:rsidR="00950510">
        <w:rPr>
          <w:rFonts w:ascii="Verdana" w:hAnsi="Verdana"/>
        </w:rPr>
        <w:t>tests</w:t>
      </w:r>
      <w:r w:rsidR="00ED3135">
        <w:rPr>
          <w:rFonts w:ascii="Verdana" w:hAnsi="Verdana"/>
        </w:rPr>
        <w:t xml:space="preserve"> (DTs)</w:t>
      </w:r>
      <w:r w:rsidR="00950510">
        <w:rPr>
          <w:rFonts w:ascii="Verdana" w:hAnsi="Verdana"/>
        </w:rPr>
        <w:t>.</w:t>
      </w:r>
      <w:r w:rsidR="00F025D3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 </w:t>
      </w:r>
      <w:r w:rsidR="000D0FD2" w:rsidRPr="00A94C30">
        <w:rPr>
          <w:rFonts w:ascii="Verdana" w:hAnsi="Verdana"/>
        </w:rPr>
        <w:t xml:space="preserve">This paper </w:t>
      </w:r>
      <w:r w:rsidR="000D0FD2">
        <w:rPr>
          <w:rFonts w:ascii="Verdana" w:hAnsi="Verdana"/>
        </w:rPr>
        <w:t xml:space="preserve">extends the work </w:t>
      </w:r>
      <w:r w:rsidR="00FE0A68">
        <w:rPr>
          <w:rFonts w:ascii="Verdana" w:hAnsi="Verdana"/>
        </w:rPr>
        <w:t>of</w:t>
      </w:r>
      <w:r w:rsidR="000D0FD2">
        <w:rPr>
          <w:rFonts w:ascii="Verdana" w:hAnsi="Verdana"/>
        </w:rPr>
        <w:t xml:space="preserve"> Hung et al. (2015) </w:t>
      </w:r>
      <w:r w:rsidR="00FA6900">
        <w:rPr>
          <w:rFonts w:ascii="Verdana" w:hAnsi="Verdana"/>
        </w:rPr>
        <w:t xml:space="preserve">in </w:t>
      </w:r>
      <w:r w:rsidR="000D0FD2">
        <w:rPr>
          <w:rFonts w:ascii="Verdana" w:hAnsi="Verdana"/>
        </w:rPr>
        <w:t xml:space="preserve">supporting the freshmen of </w:t>
      </w:r>
      <w:proofErr w:type="spellStart"/>
      <w:r w:rsidR="000D0FD2">
        <w:rPr>
          <w:rFonts w:ascii="Verdana" w:hAnsi="Verdana"/>
        </w:rPr>
        <w:t>PolyU</w:t>
      </w:r>
      <w:proofErr w:type="spellEnd"/>
      <w:r w:rsidR="00F00B43">
        <w:rPr>
          <w:rFonts w:ascii="Verdana" w:hAnsi="Verdana"/>
        </w:rPr>
        <w:t xml:space="preserve"> in learning mathematics</w:t>
      </w:r>
      <w:r w:rsidR="00BB38B1">
        <w:rPr>
          <w:rFonts w:ascii="Verdana" w:hAnsi="Verdana"/>
        </w:rPr>
        <w:t>, by</w:t>
      </w:r>
      <w:r w:rsidR="00CE75DC">
        <w:rPr>
          <w:rFonts w:ascii="Verdana" w:hAnsi="Verdana"/>
        </w:rPr>
        <w:t xml:space="preserve"> conducting the pre- and post-diagnostics mathematics tests. </w:t>
      </w:r>
      <w:r w:rsidR="00FA6900">
        <w:rPr>
          <w:rFonts w:ascii="Verdana" w:hAnsi="Verdana"/>
        </w:rPr>
        <w:t xml:space="preserve"> </w:t>
      </w:r>
      <w:r w:rsidR="00CE75DC">
        <w:rPr>
          <w:rFonts w:ascii="Verdana" w:hAnsi="Verdana"/>
        </w:rPr>
        <w:t xml:space="preserve">Our goal is to allow teachers to identify students’ abilities at the beginning of the </w:t>
      </w:r>
      <w:r w:rsidR="00CE75DC">
        <w:rPr>
          <w:rFonts w:ascii="Verdana" w:hAnsi="Verdana"/>
        </w:rPr>
        <w:lastRenderedPageBreak/>
        <w:t xml:space="preserve">semester </w:t>
      </w:r>
      <w:r w:rsidR="00FA6900">
        <w:rPr>
          <w:rFonts w:ascii="Verdana" w:hAnsi="Verdana"/>
        </w:rPr>
        <w:t xml:space="preserve">as well as allowing </w:t>
      </w:r>
      <w:r w:rsidR="00CE75DC">
        <w:rPr>
          <w:rFonts w:ascii="Verdana" w:hAnsi="Verdana"/>
        </w:rPr>
        <w:t>students to be aware of their strengths and weakness</w:t>
      </w:r>
      <w:r w:rsidR="00FA6900">
        <w:rPr>
          <w:rFonts w:ascii="Verdana" w:hAnsi="Verdana"/>
        </w:rPr>
        <w:t>es</w:t>
      </w:r>
      <w:r w:rsidR="00CE75DC">
        <w:rPr>
          <w:rFonts w:ascii="Verdana" w:hAnsi="Verdana"/>
        </w:rPr>
        <w:t xml:space="preserve"> in the subject. </w:t>
      </w:r>
      <w:r w:rsidR="00FA6900">
        <w:rPr>
          <w:rFonts w:ascii="Verdana" w:hAnsi="Verdana"/>
        </w:rPr>
        <w:t xml:space="preserve"> </w:t>
      </w:r>
      <w:r w:rsidR="00E3389C" w:rsidRPr="00E3389C">
        <w:rPr>
          <w:rFonts w:ascii="Verdana" w:hAnsi="Verdana"/>
        </w:rPr>
        <w:t xml:space="preserve">During the semester, students were provided with the e-learning packages as a self-learning tool. </w:t>
      </w:r>
      <w:r w:rsidR="00FA6900">
        <w:rPr>
          <w:rFonts w:ascii="Verdana" w:hAnsi="Verdana"/>
        </w:rPr>
        <w:t xml:space="preserve"> </w:t>
      </w:r>
      <w:r w:rsidR="00E3389C" w:rsidRPr="00E3389C">
        <w:rPr>
          <w:rFonts w:ascii="Verdana" w:hAnsi="Verdana"/>
        </w:rPr>
        <w:t>They were encouraged to focus on the topic(s) which they did not perform well in the pre-DTs.</w:t>
      </w:r>
    </w:p>
    <w:p w:rsidR="00C267F6" w:rsidRPr="00B36CBA" w:rsidRDefault="002764D5" w:rsidP="002A3567">
      <w:pPr>
        <w:pStyle w:val="Body"/>
        <w:snapToGrid w:val="0"/>
        <w:spacing w:line="240" w:lineRule="auto"/>
        <w:rPr>
          <w:rFonts w:ascii="Verdana" w:hAnsi="Verdana"/>
        </w:rPr>
      </w:pPr>
      <w:r w:rsidRPr="00A94C30">
        <w:rPr>
          <w:rFonts w:ascii="Verdana" w:hAnsi="Verdana"/>
        </w:rPr>
        <w:t xml:space="preserve">Students who used e-learning </w:t>
      </w:r>
      <w:r>
        <w:rPr>
          <w:rFonts w:ascii="Verdana" w:hAnsi="Verdana"/>
        </w:rPr>
        <w:t>packages</w:t>
      </w:r>
      <w:r w:rsidRPr="00A94C30">
        <w:rPr>
          <w:rFonts w:ascii="Verdana" w:hAnsi="Verdana"/>
        </w:rPr>
        <w:t xml:space="preserve"> are called e-book users, while those who had never used the packages are called non-e-book users. </w:t>
      </w:r>
      <w:r>
        <w:rPr>
          <w:rFonts w:ascii="Verdana" w:hAnsi="Verdana"/>
        </w:rPr>
        <w:t xml:space="preserve"> Focuses were students’ performance throughout the semester, as well as </w:t>
      </w:r>
      <w:r w:rsidR="000F6E47">
        <w:rPr>
          <w:rFonts w:ascii="Verdana" w:hAnsi="Verdana"/>
        </w:rPr>
        <w:t xml:space="preserve">any gain </w:t>
      </w:r>
      <w:r w:rsidR="000D0FD2">
        <w:rPr>
          <w:rFonts w:ascii="Verdana" w:hAnsi="Verdana"/>
        </w:rPr>
        <w:t xml:space="preserve">in </w:t>
      </w:r>
      <w:r w:rsidR="000D0FD2" w:rsidRPr="00A94C30">
        <w:rPr>
          <w:rFonts w:ascii="Verdana" w:hAnsi="Verdana"/>
        </w:rPr>
        <w:t>blended learning mode in the first semester</w:t>
      </w:r>
      <w:r w:rsidR="00B36CBA">
        <w:rPr>
          <w:rFonts w:ascii="Verdana" w:hAnsi="Verdana"/>
        </w:rPr>
        <w:t>.</w:t>
      </w:r>
    </w:p>
    <w:p w:rsidR="000D0FD2" w:rsidRDefault="001A7013" w:rsidP="00826941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As technology advances, </w:t>
      </w:r>
      <w:r w:rsidR="00534574">
        <w:rPr>
          <w:rFonts w:ascii="Verdana" w:hAnsi="Verdana"/>
        </w:rPr>
        <w:t>many pedagogical approaches</w:t>
      </w:r>
      <w:r w:rsidR="001E705C">
        <w:rPr>
          <w:rFonts w:ascii="Verdana" w:hAnsi="Verdana"/>
        </w:rPr>
        <w:t>,</w:t>
      </w:r>
      <w:r w:rsidR="001E705C" w:rsidRPr="001E705C">
        <w:rPr>
          <w:rFonts w:ascii="Verdana" w:hAnsi="Verdana"/>
        </w:rPr>
        <w:t xml:space="preserve"> </w:t>
      </w:r>
      <w:r w:rsidR="001E705C">
        <w:rPr>
          <w:rFonts w:ascii="Verdana" w:hAnsi="Verdana"/>
        </w:rPr>
        <w:t>like dynamic assessment</w:t>
      </w:r>
      <w:r w:rsidR="0031452C">
        <w:rPr>
          <w:rFonts w:ascii="Verdana" w:hAnsi="Verdana"/>
        </w:rPr>
        <w:t>s</w:t>
      </w:r>
      <w:r w:rsidR="001E705C">
        <w:rPr>
          <w:rFonts w:ascii="Verdana" w:hAnsi="Verdana"/>
        </w:rPr>
        <w:t xml:space="preserve"> in Wang (2014) and</w:t>
      </w:r>
      <w:r w:rsidR="00534574">
        <w:rPr>
          <w:rFonts w:ascii="Verdana" w:hAnsi="Verdana"/>
        </w:rPr>
        <w:t xml:space="preserve"> </w:t>
      </w:r>
      <w:r w:rsidR="001E705C">
        <w:rPr>
          <w:rFonts w:ascii="Verdana" w:hAnsi="Verdana"/>
        </w:rPr>
        <w:t xml:space="preserve">conceptual learning model in </w:t>
      </w:r>
      <w:proofErr w:type="spellStart"/>
      <w:r w:rsidR="001E705C">
        <w:rPr>
          <w:rFonts w:ascii="Verdana" w:hAnsi="Verdana"/>
        </w:rPr>
        <w:t>Srisawasdi</w:t>
      </w:r>
      <w:proofErr w:type="spellEnd"/>
      <w:r w:rsidR="001E705C">
        <w:rPr>
          <w:rFonts w:ascii="Verdana" w:hAnsi="Verdana"/>
        </w:rPr>
        <w:t xml:space="preserve"> and </w:t>
      </w:r>
      <w:proofErr w:type="spellStart"/>
      <w:r w:rsidR="001E705C">
        <w:rPr>
          <w:rFonts w:ascii="Verdana" w:hAnsi="Verdana"/>
        </w:rPr>
        <w:t>Panjaburee</w:t>
      </w:r>
      <w:proofErr w:type="spellEnd"/>
      <w:r w:rsidR="001E705C">
        <w:rPr>
          <w:rFonts w:ascii="Verdana" w:hAnsi="Verdana"/>
        </w:rPr>
        <w:t xml:space="preserve"> (2014), </w:t>
      </w:r>
      <w:r w:rsidR="00FA6900">
        <w:rPr>
          <w:rFonts w:ascii="Verdana" w:hAnsi="Verdana"/>
        </w:rPr>
        <w:t xml:space="preserve">were </w:t>
      </w:r>
      <w:r w:rsidR="00534574">
        <w:rPr>
          <w:rFonts w:ascii="Verdana" w:hAnsi="Verdana"/>
        </w:rPr>
        <w:t>considered in the e-learning</w:t>
      </w:r>
      <w:r w:rsidR="004E4717">
        <w:rPr>
          <w:rFonts w:ascii="Verdana" w:hAnsi="Verdana"/>
        </w:rPr>
        <w:t xml:space="preserve"> platform</w:t>
      </w:r>
      <w:r w:rsidR="001E705C">
        <w:rPr>
          <w:rFonts w:ascii="Verdana" w:hAnsi="Verdana"/>
        </w:rPr>
        <w:t>.</w:t>
      </w:r>
      <w:r w:rsidR="00534574">
        <w:rPr>
          <w:rFonts w:ascii="Verdana" w:hAnsi="Verdana"/>
        </w:rPr>
        <w:t xml:space="preserve"> </w:t>
      </w:r>
      <w:r w:rsidR="00FA6900">
        <w:rPr>
          <w:rFonts w:ascii="Verdana" w:hAnsi="Verdana"/>
        </w:rPr>
        <w:t xml:space="preserve"> </w:t>
      </w:r>
      <w:r w:rsidR="00EF1653">
        <w:rPr>
          <w:rFonts w:ascii="Verdana" w:hAnsi="Verdana"/>
        </w:rPr>
        <w:t>To improve the e-learning materials, a</w:t>
      </w:r>
      <w:r w:rsidR="00564595">
        <w:rPr>
          <w:rFonts w:ascii="Verdana" w:hAnsi="Verdana"/>
        </w:rPr>
        <w:t xml:space="preserve"> </w:t>
      </w:r>
      <w:r w:rsidR="00740001">
        <w:rPr>
          <w:rFonts w:ascii="Verdana" w:hAnsi="Verdana"/>
        </w:rPr>
        <w:t>more in-depth questionnaire modified from the annual e-book survey w</w:t>
      </w:r>
      <w:r w:rsidR="00FA6900">
        <w:rPr>
          <w:rFonts w:ascii="Verdana" w:hAnsi="Verdana"/>
        </w:rPr>
        <w:t>as</w:t>
      </w:r>
      <w:r w:rsidR="00740001">
        <w:rPr>
          <w:rFonts w:ascii="Verdana" w:hAnsi="Verdana"/>
        </w:rPr>
        <w:t xml:space="preserve"> designed </w:t>
      </w:r>
      <w:r w:rsidR="00EF1653">
        <w:rPr>
          <w:rFonts w:ascii="Verdana" w:hAnsi="Verdana"/>
        </w:rPr>
        <w:t>and student</w:t>
      </w:r>
      <w:r w:rsidR="00FA6900">
        <w:rPr>
          <w:rFonts w:ascii="Verdana" w:hAnsi="Verdana"/>
        </w:rPr>
        <w:t>s</w:t>
      </w:r>
      <w:r w:rsidR="00EF1653">
        <w:rPr>
          <w:rFonts w:ascii="Verdana" w:hAnsi="Verdana"/>
        </w:rPr>
        <w:t xml:space="preserve">’ </w:t>
      </w:r>
      <w:r w:rsidR="000D0FD2">
        <w:rPr>
          <w:rFonts w:ascii="Verdana" w:hAnsi="Verdana"/>
        </w:rPr>
        <w:t>us</w:t>
      </w:r>
      <w:r w:rsidR="001D2A24">
        <w:rPr>
          <w:rFonts w:ascii="Verdana" w:hAnsi="Verdana"/>
        </w:rPr>
        <w:t xml:space="preserve">age of </w:t>
      </w:r>
      <w:r w:rsidR="00FA6900">
        <w:rPr>
          <w:rFonts w:ascii="Verdana" w:hAnsi="Verdana"/>
        </w:rPr>
        <w:t xml:space="preserve">the </w:t>
      </w:r>
      <w:r w:rsidR="001D2A24">
        <w:rPr>
          <w:rFonts w:ascii="Verdana" w:hAnsi="Verdana"/>
        </w:rPr>
        <w:t xml:space="preserve">online </w:t>
      </w:r>
      <w:r w:rsidR="000D0FD2">
        <w:rPr>
          <w:rFonts w:ascii="Verdana" w:hAnsi="Verdana"/>
        </w:rPr>
        <w:t xml:space="preserve">e-tools and </w:t>
      </w:r>
      <w:r w:rsidR="00EF1653">
        <w:rPr>
          <w:rFonts w:ascii="Verdana" w:hAnsi="Verdana"/>
        </w:rPr>
        <w:t xml:space="preserve">their </w:t>
      </w:r>
      <w:r w:rsidR="000D0FD2">
        <w:rPr>
          <w:rFonts w:ascii="Verdana" w:hAnsi="Verdana"/>
        </w:rPr>
        <w:t>comments on the e</w:t>
      </w:r>
      <w:r w:rsidR="005F0664">
        <w:rPr>
          <w:rFonts w:ascii="Verdana" w:hAnsi="Verdana"/>
        </w:rPr>
        <w:t>-books</w:t>
      </w:r>
      <w:r w:rsidR="00740001">
        <w:rPr>
          <w:rFonts w:ascii="Verdana" w:hAnsi="Verdana"/>
        </w:rPr>
        <w:t xml:space="preserve"> </w:t>
      </w:r>
      <w:r w:rsidR="00EF1653">
        <w:rPr>
          <w:rFonts w:ascii="Verdana" w:hAnsi="Verdana"/>
        </w:rPr>
        <w:t xml:space="preserve">were </w:t>
      </w:r>
      <w:r w:rsidR="00FA6900">
        <w:rPr>
          <w:rFonts w:ascii="Verdana" w:hAnsi="Verdana"/>
        </w:rPr>
        <w:t xml:space="preserve">also </w:t>
      </w:r>
      <w:r w:rsidR="00EF1653">
        <w:rPr>
          <w:rFonts w:ascii="Verdana" w:hAnsi="Verdana"/>
        </w:rPr>
        <w:t>collected</w:t>
      </w:r>
      <w:r w:rsidR="00740001">
        <w:rPr>
          <w:rFonts w:ascii="Verdana" w:hAnsi="Verdana"/>
        </w:rPr>
        <w:t xml:space="preserve"> in </w:t>
      </w:r>
      <w:r w:rsidR="0093432F">
        <w:rPr>
          <w:rFonts w:ascii="Verdana" w:hAnsi="Verdana"/>
        </w:rPr>
        <w:t xml:space="preserve">the survey </w:t>
      </w:r>
      <w:r w:rsidR="009D04A6">
        <w:rPr>
          <w:rFonts w:ascii="Verdana" w:hAnsi="Verdana"/>
        </w:rPr>
        <w:t>of</w:t>
      </w:r>
      <w:r w:rsidR="0093432F">
        <w:rPr>
          <w:rFonts w:ascii="Verdana" w:hAnsi="Verdana"/>
        </w:rPr>
        <w:t xml:space="preserve"> </w:t>
      </w:r>
      <w:r w:rsidR="00740001">
        <w:rPr>
          <w:rFonts w:ascii="Verdana" w:hAnsi="Verdana"/>
        </w:rPr>
        <w:t>2016</w:t>
      </w:r>
      <w:r w:rsidR="000D0FD2">
        <w:rPr>
          <w:rFonts w:ascii="Verdana" w:hAnsi="Verdana"/>
        </w:rPr>
        <w:t>.</w:t>
      </w:r>
    </w:p>
    <w:p w:rsidR="004066C1" w:rsidRPr="005F6A44" w:rsidRDefault="004066C1" w:rsidP="00E75AE5">
      <w:pPr>
        <w:pStyle w:val="Header1"/>
        <w:rPr>
          <w:rFonts w:ascii="Verdana" w:hAnsi="Verdana"/>
          <w:b w:val="0"/>
        </w:rPr>
      </w:pPr>
    </w:p>
    <w:p w:rsidR="00E75AE5" w:rsidRPr="004066C1" w:rsidRDefault="00912855" w:rsidP="00594696">
      <w:pPr>
        <w:pStyle w:val="Header1"/>
        <w:rPr>
          <w:rFonts w:ascii="Verdana" w:hAnsi="Verdana"/>
        </w:rPr>
      </w:pPr>
      <w:r w:rsidRPr="004066C1">
        <w:rPr>
          <w:rFonts w:ascii="Verdana" w:hAnsi="Verdana"/>
        </w:rPr>
        <w:t>2</w:t>
      </w:r>
      <w:r w:rsidR="00E75AE5" w:rsidRPr="004066C1">
        <w:rPr>
          <w:rFonts w:ascii="Verdana" w:hAnsi="Verdana"/>
        </w:rPr>
        <w:t xml:space="preserve">. </w:t>
      </w:r>
      <w:r w:rsidR="00FC571A">
        <w:rPr>
          <w:rFonts w:ascii="Verdana" w:hAnsi="Verdana"/>
        </w:rPr>
        <w:t>Methodology</w:t>
      </w:r>
    </w:p>
    <w:p w:rsidR="00A94C30" w:rsidRDefault="00A94C30" w:rsidP="005F6A44">
      <w:pPr>
        <w:pStyle w:val="Body"/>
        <w:snapToGrid w:val="0"/>
        <w:spacing w:line="240" w:lineRule="auto"/>
        <w:rPr>
          <w:rFonts w:ascii="Verdana" w:hAnsi="Verdana"/>
        </w:rPr>
      </w:pPr>
      <w:bookmarkStart w:id="0" w:name="_Ref473034950"/>
      <w:r w:rsidRPr="00A94C30">
        <w:rPr>
          <w:rFonts w:ascii="Verdana" w:hAnsi="Verdana"/>
        </w:rPr>
        <w:t xml:space="preserve">This paper </w:t>
      </w:r>
      <w:r w:rsidR="00830A26">
        <w:rPr>
          <w:rFonts w:ascii="Verdana" w:hAnsi="Verdana"/>
        </w:rPr>
        <w:t>has</w:t>
      </w:r>
      <w:r w:rsidR="005B7CC5">
        <w:rPr>
          <w:rFonts w:ascii="Verdana" w:hAnsi="Verdana"/>
        </w:rPr>
        <w:t xml:space="preserve"> two</w:t>
      </w:r>
      <w:r w:rsidR="00830A26">
        <w:rPr>
          <w:rFonts w:ascii="Verdana" w:hAnsi="Verdana"/>
        </w:rPr>
        <w:t xml:space="preserve"> parts</w:t>
      </w:r>
      <w:r w:rsidR="000D0FD2">
        <w:rPr>
          <w:rFonts w:ascii="Verdana" w:hAnsi="Verdana"/>
        </w:rPr>
        <w:t xml:space="preserve">: </w:t>
      </w:r>
      <w:r w:rsidR="00750A22">
        <w:rPr>
          <w:rFonts w:ascii="Verdana" w:hAnsi="Verdana"/>
        </w:rPr>
        <w:t>evaluating</w:t>
      </w:r>
      <w:r w:rsidR="000D0FD2">
        <w:rPr>
          <w:rFonts w:ascii="Verdana" w:hAnsi="Verdana"/>
        </w:rPr>
        <w:t xml:space="preserve"> students’ performance via pre- and post- diagnostic e-assessment</w:t>
      </w:r>
      <w:r w:rsidR="00750A22">
        <w:rPr>
          <w:rFonts w:ascii="Verdana" w:hAnsi="Verdana"/>
        </w:rPr>
        <w:t>s</w:t>
      </w:r>
      <w:r w:rsidR="000D0FD2">
        <w:rPr>
          <w:rFonts w:ascii="Verdana" w:hAnsi="Verdana"/>
        </w:rPr>
        <w:t xml:space="preserve"> </w:t>
      </w:r>
      <w:r w:rsidR="00570C22">
        <w:rPr>
          <w:rFonts w:ascii="Verdana" w:hAnsi="Verdana"/>
        </w:rPr>
        <w:t>as well as</w:t>
      </w:r>
      <w:r w:rsidR="00B5507E">
        <w:rPr>
          <w:rFonts w:ascii="Verdana" w:hAnsi="Verdana"/>
        </w:rPr>
        <w:t xml:space="preserve"> the</w:t>
      </w:r>
      <w:r w:rsidR="000D0FD2">
        <w:rPr>
          <w:rFonts w:ascii="Verdana" w:hAnsi="Verdana"/>
        </w:rPr>
        <w:t xml:space="preserve"> e-book</w:t>
      </w:r>
      <w:r w:rsidR="00836A89">
        <w:rPr>
          <w:rFonts w:ascii="Verdana" w:hAnsi="Verdana"/>
        </w:rPr>
        <w:t xml:space="preserve"> survey</w:t>
      </w:r>
      <w:r w:rsidR="000D0FD2">
        <w:rPr>
          <w:rFonts w:ascii="Verdana" w:hAnsi="Verdana"/>
        </w:rPr>
        <w:t>.</w:t>
      </w:r>
    </w:p>
    <w:p w:rsidR="00594696" w:rsidRPr="004066C1" w:rsidRDefault="00594696" w:rsidP="00594696">
      <w:pPr>
        <w:pStyle w:val="Header2"/>
        <w:rPr>
          <w:rFonts w:ascii="Verdana" w:hAnsi="Verdana"/>
        </w:rPr>
      </w:pPr>
      <w:r>
        <w:rPr>
          <w:rFonts w:ascii="Verdana" w:hAnsi="Verdana"/>
        </w:rPr>
        <w:t>2.1</w:t>
      </w:r>
      <w:r w:rsidRPr="004066C1">
        <w:rPr>
          <w:rFonts w:ascii="Verdana" w:hAnsi="Verdana"/>
        </w:rPr>
        <w:t xml:space="preserve">. </w:t>
      </w:r>
      <w:r w:rsidR="00FC571A">
        <w:rPr>
          <w:rFonts w:ascii="Verdana" w:hAnsi="Verdana"/>
        </w:rPr>
        <w:t>Pre- and Post- Diagnostic e-Assessment</w:t>
      </w:r>
      <w:r w:rsidR="00A9661B">
        <w:rPr>
          <w:rFonts w:ascii="Verdana" w:hAnsi="Verdana"/>
        </w:rPr>
        <w:t>s</w:t>
      </w:r>
    </w:p>
    <w:p w:rsidR="00BB756F" w:rsidRDefault="00A94C30" w:rsidP="005F6A44">
      <w:pPr>
        <w:pStyle w:val="Body"/>
        <w:snapToGrid w:val="0"/>
        <w:spacing w:line="240" w:lineRule="auto"/>
        <w:rPr>
          <w:rFonts w:ascii="Verdana" w:hAnsi="Verdana"/>
        </w:rPr>
      </w:pPr>
      <w:r w:rsidRPr="00A94C30">
        <w:rPr>
          <w:rFonts w:ascii="Verdana" w:hAnsi="Verdana"/>
        </w:rPr>
        <w:t xml:space="preserve">The pre- and post-diagnostic tests were conducted </w:t>
      </w:r>
      <w:r w:rsidR="008D1625">
        <w:rPr>
          <w:rFonts w:ascii="Verdana" w:hAnsi="Verdana"/>
        </w:rPr>
        <w:t>at</w:t>
      </w:r>
      <w:r w:rsidR="008D1625" w:rsidRPr="00A94C30">
        <w:rPr>
          <w:rFonts w:ascii="Verdana" w:hAnsi="Verdana"/>
        </w:rPr>
        <w:t xml:space="preserve"> the beginning and by the end of the first semester of the academic year 2016-17</w:t>
      </w:r>
      <w:r w:rsidR="00C9793F">
        <w:rPr>
          <w:rFonts w:ascii="Verdana" w:hAnsi="Verdana"/>
        </w:rPr>
        <w:t>,</w:t>
      </w:r>
      <w:r w:rsidR="008D1625">
        <w:rPr>
          <w:rFonts w:ascii="Verdana" w:hAnsi="Verdana"/>
        </w:rPr>
        <w:t xml:space="preserve"> </w:t>
      </w:r>
      <w:r w:rsidR="00E56F9F">
        <w:rPr>
          <w:rFonts w:ascii="Verdana" w:hAnsi="Verdana"/>
        </w:rPr>
        <w:t xml:space="preserve">in a similar framework as </w:t>
      </w:r>
      <w:r w:rsidR="001F5F98">
        <w:rPr>
          <w:rFonts w:ascii="Verdana" w:hAnsi="Verdana"/>
        </w:rPr>
        <w:t>the DT</w:t>
      </w:r>
      <w:r w:rsidR="00960A5D">
        <w:rPr>
          <w:rFonts w:ascii="Verdana" w:hAnsi="Verdana"/>
        </w:rPr>
        <w:t xml:space="preserve"> </w:t>
      </w:r>
      <w:r w:rsidR="00E56F9F">
        <w:rPr>
          <w:rFonts w:ascii="Verdana" w:hAnsi="Verdana"/>
        </w:rPr>
        <w:t>in Hung et al. (2015)</w:t>
      </w:r>
      <w:r w:rsidRPr="00A94C30">
        <w:rPr>
          <w:rFonts w:ascii="Verdana" w:hAnsi="Verdana"/>
        </w:rPr>
        <w:t xml:space="preserve">. </w:t>
      </w:r>
      <w:r w:rsidR="00FA6900">
        <w:rPr>
          <w:rFonts w:ascii="Verdana" w:hAnsi="Verdana"/>
        </w:rPr>
        <w:t xml:space="preserve"> </w:t>
      </w:r>
      <w:r w:rsidR="003009AB">
        <w:rPr>
          <w:rFonts w:ascii="Verdana" w:hAnsi="Verdana"/>
        </w:rPr>
        <w:t xml:space="preserve">The target of </w:t>
      </w:r>
      <w:proofErr w:type="spellStart"/>
      <w:r w:rsidR="003009AB">
        <w:rPr>
          <w:rFonts w:ascii="Verdana" w:hAnsi="Verdana"/>
        </w:rPr>
        <w:t>PolyU</w:t>
      </w:r>
      <w:proofErr w:type="spellEnd"/>
      <w:r w:rsidR="003009AB">
        <w:rPr>
          <w:rFonts w:ascii="Verdana" w:hAnsi="Verdana"/>
        </w:rPr>
        <w:t xml:space="preserve"> freshmen were from </w:t>
      </w:r>
      <w:r w:rsidR="003009AB" w:rsidRPr="003009AB">
        <w:rPr>
          <w:rFonts w:ascii="Verdana" w:hAnsi="Verdana"/>
        </w:rPr>
        <w:t>the Faculty of Applied Science and Textile, the Faculty of Engineering and Senior-Year-Admitted stude</w:t>
      </w:r>
      <w:r w:rsidR="00EE3336">
        <w:rPr>
          <w:rFonts w:ascii="Verdana" w:hAnsi="Verdana"/>
        </w:rPr>
        <w:t>nts of School of Nursing</w:t>
      </w:r>
      <w:r w:rsidR="003009AB">
        <w:rPr>
          <w:rFonts w:ascii="Verdana" w:hAnsi="Verdana"/>
        </w:rPr>
        <w:t>.</w:t>
      </w:r>
    </w:p>
    <w:p w:rsidR="00BB756F" w:rsidRDefault="0057794C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Upon the</w:t>
      </w:r>
      <w:r w:rsidR="00FA6900">
        <w:rPr>
          <w:rFonts w:ascii="Verdana" w:hAnsi="Verdana"/>
        </w:rPr>
        <w:t>ir</w:t>
      </w:r>
      <w:r>
        <w:rPr>
          <w:rFonts w:ascii="Verdana" w:hAnsi="Verdana"/>
        </w:rPr>
        <w:t xml:space="preserve"> registration </w:t>
      </w:r>
      <w:r w:rsidR="00583CB3">
        <w:rPr>
          <w:rFonts w:ascii="Verdana" w:hAnsi="Verdana"/>
        </w:rPr>
        <w:t>at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PolyU</w:t>
      </w:r>
      <w:proofErr w:type="spellEnd"/>
      <w:r>
        <w:rPr>
          <w:rFonts w:ascii="Verdana" w:hAnsi="Verdana"/>
        </w:rPr>
        <w:t>,</w:t>
      </w:r>
      <w:r w:rsidR="003009AB">
        <w:rPr>
          <w:rFonts w:ascii="Verdana" w:hAnsi="Verdana"/>
        </w:rPr>
        <w:t xml:space="preserve"> </w:t>
      </w:r>
      <w:r w:rsidR="003009AB" w:rsidRPr="003009AB">
        <w:rPr>
          <w:rFonts w:ascii="Verdana" w:hAnsi="Verdana"/>
        </w:rPr>
        <w:t xml:space="preserve">students were invited </w:t>
      </w:r>
      <w:r w:rsidR="00FA6900">
        <w:rPr>
          <w:rFonts w:ascii="Verdana" w:hAnsi="Verdana"/>
        </w:rPr>
        <w:t xml:space="preserve">via emails to take </w:t>
      </w:r>
      <w:r w:rsidR="003009AB" w:rsidRPr="003009AB">
        <w:rPr>
          <w:rFonts w:ascii="Verdana" w:hAnsi="Verdana"/>
        </w:rPr>
        <w:t xml:space="preserve">the </w:t>
      </w:r>
      <w:r>
        <w:rPr>
          <w:rFonts w:ascii="Verdana" w:hAnsi="Verdana"/>
        </w:rPr>
        <w:t>pre-</w:t>
      </w:r>
      <w:r w:rsidR="003009AB" w:rsidRPr="003009AB">
        <w:rPr>
          <w:rFonts w:ascii="Verdana" w:hAnsi="Verdana"/>
        </w:rPr>
        <w:t>diagnostic test</w:t>
      </w:r>
      <w:r w:rsidR="00FA6900">
        <w:rPr>
          <w:rFonts w:ascii="Verdana" w:hAnsi="Verdana"/>
        </w:rPr>
        <w:t>s.</w:t>
      </w:r>
      <w:r w:rsidR="00F9413E">
        <w:rPr>
          <w:rFonts w:ascii="Verdana" w:hAnsi="Verdana"/>
        </w:rPr>
        <w:t xml:space="preserve"> The students were informed </w:t>
      </w:r>
      <w:r w:rsidR="003009AB" w:rsidRPr="003009AB">
        <w:rPr>
          <w:rFonts w:ascii="Verdana" w:hAnsi="Verdana"/>
        </w:rPr>
        <w:t xml:space="preserve">that the tests would be used as a </w:t>
      </w:r>
      <w:r w:rsidR="00C17D0E">
        <w:rPr>
          <w:rFonts w:ascii="Verdana" w:hAnsi="Verdana"/>
        </w:rPr>
        <w:t xml:space="preserve">tool to </w:t>
      </w:r>
      <w:r w:rsidR="00F9413E">
        <w:rPr>
          <w:rFonts w:ascii="Verdana" w:hAnsi="Verdana"/>
        </w:rPr>
        <w:t xml:space="preserve">identify </w:t>
      </w:r>
      <w:proofErr w:type="gramStart"/>
      <w:r w:rsidR="003009AB" w:rsidRPr="003009AB">
        <w:rPr>
          <w:rFonts w:ascii="Verdana" w:hAnsi="Verdana"/>
        </w:rPr>
        <w:t>their strengthen</w:t>
      </w:r>
      <w:r w:rsidR="006E4A72">
        <w:rPr>
          <w:rFonts w:ascii="Verdana" w:hAnsi="Verdana"/>
        </w:rPr>
        <w:t>s</w:t>
      </w:r>
      <w:proofErr w:type="gramEnd"/>
      <w:r w:rsidR="003009AB" w:rsidRPr="003009AB">
        <w:rPr>
          <w:rFonts w:ascii="Verdana" w:hAnsi="Verdana"/>
        </w:rPr>
        <w:t xml:space="preserve"> and weakness</w:t>
      </w:r>
      <w:r w:rsidR="006E4A72">
        <w:rPr>
          <w:rFonts w:ascii="Verdana" w:hAnsi="Verdana"/>
        </w:rPr>
        <w:t>es</w:t>
      </w:r>
      <w:r w:rsidR="003009AB" w:rsidRPr="003009AB">
        <w:rPr>
          <w:rFonts w:ascii="Verdana" w:hAnsi="Verdana"/>
        </w:rPr>
        <w:t xml:space="preserve"> and no special preparation was required for the test</w:t>
      </w:r>
      <w:r w:rsidR="005B2BD2">
        <w:rPr>
          <w:rFonts w:ascii="Verdana" w:hAnsi="Verdana"/>
        </w:rPr>
        <w:t>s</w:t>
      </w:r>
      <w:r w:rsidR="003009AB" w:rsidRPr="003009AB">
        <w:rPr>
          <w:rFonts w:ascii="Verdana" w:hAnsi="Verdana"/>
        </w:rPr>
        <w:t xml:space="preserve">. </w:t>
      </w:r>
      <w:r w:rsidR="00F9413E">
        <w:rPr>
          <w:rFonts w:ascii="Verdana" w:hAnsi="Verdana"/>
        </w:rPr>
        <w:t xml:space="preserve"> </w:t>
      </w:r>
      <w:r w:rsidR="0064250A">
        <w:rPr>
          <w:rFonts w:ascii="Verdana" w:hAnsi="Verdana"/>
        </w:rPr>
        <w:t>Two modes of</w:t>
      </w:r>
      <w:r w:rsidR="003009AB" w:rsidRPr="003009AB">
        <w:rPr>
          <w:rFonts w:ascii="Verdana" w:hAnsi="Verdana"/>
        </w:rPr>
        <w:t xml:space="preserve"> </w:t>
      </w:r>
      <w:r w:rsidR="00000AC9">
        <w:rPr>
          <w:rFonts w:ascii="Verdana" w:hAnsi="Verdana"/>
        </w:rPr>
        <w:t>DTs</w:t>
      </w:r>
      <w:r w:rsidR="0064250A">
        <w:rPr>
          <w:rFonts w:ascii="Verdana" w:hAnsi="Verdana"/>
        </w:rPr>
        <w:t xml:space="preserve">, </w:t>
      </w:r>
      <w:r w:rsidR="00AF42AD">
        <w:rPr>
          <w:rFonts w:ascii="Verdana" w:hAnsi="Verdana"/>
        </w:rPr>
        <w:t>a</w:t>
      </w:r>
      <w:r w:rsidR="0064250A" w:rsidRPr="003009AB">
        <w:rPr>
          <w:rFonts w:ascii="Verdana" w:hAnsi="Verdana"/>
        </w:rPr>
        <w:t>lgebra test</w:t>
      </w:r>
      <w:r w:rsidR="004D7EAD">
        <w:rPr>
          <w:rFonts w:ascii="Verdana" w:hAnsi="Verdana"/>
        </w:rPr>
        <w:t xml:space="preserve"> (A</w:t>
      </w:r>
      <w:r w:rsidR="00C17CAF">
        <w:rPr>
          <w:rFonts w:ascii="Verdana" w:hAnsi="Verdana"/>
        </w:rPr>
        <w:t xml:space="preserve">L </w:t>
      </w:r>
      <w:r w:rsidR="004D7EAD">
        <w:rPr>
          <w:rFonts w:ascii="Verdana" w:hAnsi="Verdana"/>
        </w:rPr>
        <w:t>test)</w:t>
      </w:r>
      <w:r w:rsidR="0064250A" w:rsidRPr="003009AB">
        <w:rPr>
          <w:rFonts w:ascii="Verdana" w:hAnsi="Verdana"/>
        </w:rPr>
        <w:t xml:space="preserve"> and </w:t>
      </w:r>
      <w:r w:rsidR="00AF42AD">
        <w:rPr>
          <w:rFonts w:ascii="Verdana" w:hAnsi="Verdana"/>
        </w:rPr>
        <w:t>a</w:t>
      </w:r>
      <w:r w:rsidR="0064250A" w:rsidRPr="003009AB">
        <w:rPr>
          <w:rFonts w:ascii="Verdana" w:hAnsi="Verdana"/>
        </w:rPr>
        <w:t>lgebra</w:t>
      </w:r>
      <w:r w:rsidR="004115E9">
        <w:rPr>
          <w:rFonts w:ascii="Verdana" w:hAnsi="Verdana"/>
        </w:rPr>
        <w:t xml:space="preserve"> &amp; calculus</w:t>
      </w:r>
      <w:r w:rsidR="0064250A" w:rsidRPr="003009AB">
        <w:rPr>
          <w:rFonts w:ascii="Verdana" w:hAnsi="Verdana"/>
        </w:rPr>
        <w:t xml:space="preserve"> </w:t>
      </w:r>
      <w:r w:rsidR="0064250A">
        <w:rPr>
          <w:rFonts w:ascii="Verdana" w:hAnsi="Verdana"/>
        </w:rPr>
        <w:t>t</w:t>
      </w:r>
      <w:r w:rsidR="0064250A" w:rsidRPr="003009AB">
        <w:rPr>
          <w:rFonts w:ascii="Verdana" w:hAnsi="Verdana"/>
        </w:rPr>
        <w:t>est</w:t>
      </w:r>
      <w:r w:rsidR="00F06282">
        <w:rPr>
          <w:rFonts w:ascii="Verdana" w:hAnsi="Verdana"/>
        </w:rPr>
        <w:t xml:space="preserve"> (A</w:t>
      </w:r>
      <w:r w:rsidR="004115E9">
        <w:rPr>
          <w:rFonts w:ascii="Verdana" w:hAnsi="Verdana"/>
        </w:rPr>
        <w:t>C</w:t>
      </w:r>
      <w:r w:rsidR="001F1513">
        <w:rPr>
          <w:rFonts w:ascii="Verdana" w:hAnsi="Verdana"/>
        </w:rPr>
        <w:t xml:space="preserve"> </w:t>
      </w:r>
      <w:r w:rsidR="00F06282">
        <w:rPr>
          <w:rFonts w:ascii="Verdana" w:hAnsi="Verdana"/>
        </w:rPr>
        <w:t>test)</w:t>
      </w:r>
      <w:r w:rsidR="0064250A">
        <w:rPr>
          <w:rFonts w:ascii="Verdana" w:hAnsi="Verdana"/>
        </w:rPr>
        <w:t>,</w:t>
      </w:r>
      <w:r w:rsidR="003009AB" w:rsidRPr="003009AB">
        <w:rPr>
          <w:rFonts w:ascii="Verdana" w:hAnsi="Verdana"/>
        </w:rPr>
        <w:t xml:space="preserve"> were created in </w:t>
      </w:r>
      <w:r w:rsidR="00F9413E">
        <w:rPr>
          <w:rFonts w:ascii="Verdana" w:hAnsi="Verdana"/>
        </w:rPr>
        <w:t xml:space="preserve">the Learning Management System of Blackboard, </w:t>
      </w:r>
      <w:proofErr w:type="spellStart"/>
      <w:r w:rsidR="003009AB" w:rsidRPr="003009AB">
        <w:rPr>
          <w:rFonts w:ascii="Verdana" w:hAnsi="Verdana"/>
        </w:rPr>
        <w:t>LEARN@PolyU</w:t>
      </w:r>
      <w:proofErr w:type="spellEnd"/>
      <w:r w:rsidR="003009AB" w:rsidRPr="003009AB">
        <w:rPr>
          <w:rFonts w:ascii="Verdana" w:hAnsi="Verdana"/>
        </w:rPr>
        <w:t xml:space="preserve">. </w:t>
      </w:r>
      <w:r w:rsidR="00F9413E">
        <w:rPr>
          <w:rFonts w:ascii="Verdana" w:hAnsi="Verdana"/>
        </w:rPr>
        <w:t xml:space="preserve"> </w:t>
      </w:r>
      <w:r w:rsidR="003009AB" w:rsidRPr="003009AB">
        <w:rPr>
          <w:rFonts w:ascii="Verdana" w:hAnsi="Verdana"/>
        </w:rPr>
        <w:t xml:space="preserve">The former test was given to the students </w:t>
      </w:r>
      <w:r w:rsidR="00945DE7">
        <w:rPr>
          <w:rFonts w:ascii="Verdana" w:hAnsi="Verdana"/>
        </w:rPr>
        <w:t>without</w:t>
      </w:r>
      <w:r w:rsidR="00EB2EF9">
        <w:rPr>
          <w:rFonts w:ascii="Verdana" w:hAnsi="Verdana"/>
        </w:rPr>
        <w:t xml:space="preserve"> taking</w:t>
      </w:r>
      <w:r w:rsidR="00F601EE">
        <w:rPr>
          <w:rFonts w:ascii="Verdana" w:hAnsi="Verdana"/>
        </w:rPr>
        <w:t xml:space="preserve"> Hong Kong</w:t>
      </w:r>
      <w:r w:rsidR="00945DE7">
        <w:rPr>
          <w:rFonts w:ascii="Verdana" w:hAnsi="Verdana"/>
        </w:rPr>
        <w:t xml:space="preserve"> </w:t>
      </w:r>
      <w:r w:rsidR="007B37F7">
        <w:rPr>
          <w:rFonts w:ascii="Verdana" w:hAnsi="Verdana"/>
        </w:rPr>
        <w:t xml:space="preserve">DSE M1 </w:t>
      </w:r>
      <w:r w:rsidR="009A6898">
        <w:rPr>
          <w:rFonts w:ascii="Verdana" w:hAnsi="Verdana"/>
        </w:rPr>
        <w:t>or</w:t>
      </w:r>
      <w:r w:rsidR="007B37F7">
        <w:rPr>
          <w:rFonts w:ascii="Verdana" w:hAnsi="Verdana"/>
        </w:rPr>
        <w:t xml:space="preserve"> M2</w:t>
      </w:r>
      <w:r w:rsidR="008621A0">
        <w:rPr>
          <w:rFonts w:ascii="Verdana" w:hAnsi="Verdana"/>
        </w:rPr>
        <w:t>, while</w:t>
      </w:r>
      <w:r w:rsidR="003009AB" w:rsidRPr="003009AB">
        <w:rPr>
          <w:rFonts w:ascii="Verdana" w:hAnsi="Verdana"/>
        </w:rPr>
        <w:t xml:space="preserve"> the latter test was given to the students having taken Ho</w:t>
      </w:r>
      <w:r w:rsidR="004560BB">
        <w:rPr>
          <w:rFonts w:ascii="Verdana" w:hAnsi="Verdana"/>
        </w:rPr>
        <w:t>ng Kong DSE in Core Mathematics, together with</w:t>
      </w:r>
      <w:r w:rsidR="008659C2">
        <w:rPr>
          <w:rFonts w:ascii="Verdana" w:hAnsi="Verdana"/>
        </w:rPr>
        <w:t xml:space="preserve"> </w:t>
      </w:r>
      <w:r w:rsidR="003009AB" w:rsidRPr="003009AB">
        <w:rPr>
          <w:rFonts w:ascii="Verdana" w:hAnsi="Verdana"/>
        </w:rPr>
        <w:t>M1</w:t>
      </w:r>
      <w:r w:rsidR="000F6807">
        <w:rPr>
          <w:rFonts w:ascii="Verdana" w:hAnsi="Verdana"/>
        </w:rPr>
        <w:t xml:space="preserve"> or </w:t>
      </w:r>
      <w:r w:rsidR="003009AB" w:rsidRPr="003009AB">
        <w:rPr>
          <w:rFonts w:ascii="Verdana" w:hAnsi="Verdana"/>
        </w:rPr>
        <w:t xml:space="preserve">M2. </w:t>
      </w:r>
      <w:r w:rsidR="00F9413E">
        <w:rPr>
          <w:rFonts w:ascii="Verdana" w:hAnsi="Verdana"/>
        </w:rPr>
        <w:t xml:space="preserve"> </w:t>
      </w:r>
      <w:r w:rsidR="003A50F8" w:rsidRPr="003A50F8">
        <w:rPr>
          <w:rFonts w:ascii="Verdana" w:hAnsi="Verdana"/>
        </w:rPr>
        <w:t xml:space="preserve">To encourage the students to take the voluntary diagnostic tests, students were allowed to attempt the tests via </w:t>
      </w:r>
      <w:proofErr w:type="spellStart"/>
      <w:r w:rsidR="00F9413E">
        <w:rPr>
          <w:rFonts w:ascii="Verdana" w:hAnsi="Verdana"/>
        </w:rPr>
        <w:t>LEARN@PolyU</w:t>
      </w:r>
      <w:proofErr w:type="spellEnd"/>
      <w:r w:rsidR="009727C0">
        <w:rPr>
          <w:rFonts w:ascii="Verdana" w:hAnsi="Verdana"/>
        </w:rPr>
        <w:t xml:space="preserve"> </w:t>
      </w:r>
      <w:r w:rsidR="00F9413E">
        <w:rPr>
          <w:rFonts w:ascii="Verdana" w:hAnsi="Verdana"/>
        </w:rPr>
        <w:t xml:space="preserve">at a time and place of their own choice </w:t>
      </w:r>
      <w:r w:rsidR="003A50F8" w:rsidRPr="003A50F8">
        <w:rPr>
          <w:rFonts w:ascii="Verdana" w:hAnsi="Verdana"/>
        </w:rPr>
        <w:t>b</w:t>
      </w:r>
      <w:r w:rsidR="00F9413E">
        <w:rPr>
          <w:rFonts w:ascii="Verdana" w:hAnsi="Verdana"/>
        </w:rPr>
        <w:t xml:space="preserve">efore </w:t>
      </w:r>
      <w:r w:rsidR="003A50F8" w:rsidRPr="003A50F8">
        <w:rPr>
          <w:rFonts w:ascii="Verdana" w:hAnsi="Verdana"/>
        </w:rPr>
        <w:t xml:space="preserve">the end of September 2016. </w:t>
      </w:r>
      <w:r w:rsidR="00F9413E">
        <w:rPr>
          <w:rFonts w:ascii="Verdana" w:hAnsi="Verdana"/>
        </w:rPr>
        <w:t xml:space="preserve"> </w:t>
      </w:r>
      <w:r w:rsidR="003A50F8" w:rsidRPr="003A50F8">
        <w:rPr>
          <w:rFonts w:ascii="Verdana" w:hAnsi="Verdana"/>
        </w:rPr>
        <w:t xml:space="preserve">In addition, cake/coffee/ice-cream coupons were </w:t>
      </w:r>
      <w:r w:rsidR="00F9413E">
        <w:rPr>
          <w:rFonts w:ascii="Verdana" w:hAnsi="Verdana"/>
        </w:rPr>
        <w:t xml:space="preserve">provided </w:t>
      </w:r>
      <w:r w:rsidR="00EC1770">
        <w:rPr>
          <w:rFonts w:ascii="Verdana" w:hAnsi="Verdana"/>
        </w:rPr>
        <w:t>as incentives to</w:t>
      </w:r>
      <w:r w:rsidR="003A50F8" w:rsidRPr="003A50F8">
        <w:rPr>
          <w:rFonts w:ascii="Verdana" w:hAnsi="Verdana"/>
        </w:rPr>
        <w:t xml:space="preserve"> </w:t>
      </w:r>
      <w:r w:rsidR="00A475B3">
        <w:rPr>
          <w:rFonts w:ascii="Verdana" w:hAnsi="Verdana"/>
        </w:rPr>
        <w:t>serious</w:t>
      </w:r>
      <w:r w:rsidR="005F6A44">
        <w:rPr>
          <w:rFonts w:ascii="Verdana" w:hAnsi="Verdana"/>
        </w:rPr>
        <w:t xml:space="preserve"> </w:t>
      </w:r>
      <w:r w:rsidR="00A475B3">
        <w:rPr>
          <w:rFonts w:ascii="Verdana" w:hAnsi="Verdana"/>
        </w:rPr>
        <w:t>test takers.</w:t>
      </w:r>
    </w:p>
    <w:p w:rsidR="003009AB" w:rsidRPr="003009AB" w:rsidRDefault="001608BE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Participants were screened and those seriously attempted Pre-DT would be informed </w:t>
      </w:r>
      <w:r w:rsidR="005A1E00">
        <w:rPr>
          <w:rFonts w:ascii="Verdana" w:hAnsi="Verdana"/>
        </w:rPr>
        <w:t xml:space="preserve">of </w:t>
      </w:r>
      <w:r>
        <w:rPr>
          <w:rFonts w:ascii="Verdana" w:hAnsi="Verdana"/>
        </w:rPr>
        <w:t xml:space="preserve">details of the post-DTs </w:t>
      </w:r>
      <w:r w:rsidR="00154DC9">
        <w:rPr>
          <w:rFonts w:ascii="Verdana" w:hAnsi="Verdana"/>
        </w:rPr>
        <w:t>towards the end of the first semester</w:t>
      </w:r>
      <w:r>
        <w:rPr>
          <w:rFonts w:ascii="Verdana" w:hAnsi="Verdana"/>
        </w:rPr>
        <w:t>. T</w:t>
      </w:r>
      <w:r w:rsidR="00D62921">
        <w:rPr>
          <w:rFonts w:ascii="Verdana" w:hAnsi="Verdana"/>
        </w:rPr>
        <w:t xml:space="preserve">he post-tests </w:t>
      </w:r>
      <w:r w:rsidR="000F0FF2">
        <w:rPr>
          <w:rFonts w:ascii="Verdana" w:hAnsi="Verdana"/>
        </w:rPr>
        <w:t xml:space="preserve">were </w:t>
      </w:r>
      <w:r w:rsidR="00D62921">
        <w:rPr>
          <w:rFonts w:ascii="Verdana" w:hAnsi="Verdana"/>
        </w:rPr>
        <w:t xml:space="preserve">held </w:t>
      </w:r>
      <w:r w:rsidR="000F0FF2">
        <w:rPr>
          <w:rFonts w:ascii="Verdana" w:hAnsi="Verdana"/>
        </w:rPr>
        <w:t xml:space="preserve">also </w:t>
      </w:r>
      <w:r w:rsidR="00D62921">
        <w:rPr>
          <w:rFonts w:ascii="Verdana" w:hAnsi="Verdana"/>
        </w:rPr>
        <w:t xml:space="preserve">via </w:t>
      </w:r>
      <w:proofErr w:type="spellStart"/>
      <w:r w:rsidR="000F0FF2">
        <w:rPr>
          <w:rFonts w:ascii="Verdana" w:hAnsi="Verdana"/>
        </w:rPr>
        <w:t>LEARN@PolyU</w:t>
      </w:r>
      <w:proofErr w:type="spellEnd"/>
      <w:r w:rsidR="000F0FF2">
        <w:rPr>
          <w:rFonts w:ascii="Verdana" w:hAnsi="Verdana"/>
        </w:rPr>
        <w:t xml:space="preserve"> from </w:t>
      </w:r>
      <w:r w:rsidR="00D62921" w:rsidRPr="003A50F8">
        <w:rPr>
          <w:rFonts w:ascii="Verdana" w:hAnsi="Verdana"/>
        </w:rPr>
        <w:t>the end of November to the end of December 2016.</w:t>
      </w:r>
      <w:r w:rsidR="00D62921">
        <w:rPr>
          <w:rFonts w:ascii="Verdana" w:hAnsi="Verdana"/>
        </w:rPr>
        <w:t xml:space="preserve"> </w:t>
      </w:r>
      <w:r w:rsidR="000F0FF2">
        <w:rPr>
          <w:rFonts w:ascii="Verdana" w:hAnsi="Verdana"/>
        </w:rPr>
        <w:t xml:space="preserve"> With similar settings </w:t>
      </w:r>
      <w:r w:rsidR="003A1A4C">
        <w:rPr>
          <w:rFonts w:ascii="Verdana" w:hAnsi="Verdana"/>
        </w:rPr>
        <w:t>to the pre-test</w:t>
      </w:r>
      <w:r w:rsidR="000F0FF2">
        <w:rPr>
          <w:rFonts w:ascii="Verdana" w:hAnsi="Verdana"/>
        </w:rPr>
        <w:t>s</w:t>
      </w:r>
      <w:r w:rsidR="003A1A4C">
        <w:rPr>
          <w:rFonts w:ascii="Verdana" w:hAnsi="Verdana"/>
        </w:rPr>
        <w:t xml:space="preserve">, </w:t>
      </w:r>
      <w:r w:rsidR="000F0FF2">
        <w:rPr>
          <w:rFonts w:ascii="Verdana" w:hAnsi="Verdana"/>
        </w:rPr>
        <w:t xml:space="preserve">the </w:t>
      </w:r>
      <w:r w:rsidR="003A1A4C">
        <w:rPr>
          <w:rFonts w:ascii="Verdana" w:hAnsi="Verdana"/>
        </w:rPr>
        <w:t>s</w:t>
      </w:r>
      <w:r w:rsidR="000E56BD">
        <w:rPr>
          <w:rFonts w:ascii="Verdana" w:hAnsi="Verdana"/>
        </w:rPr>
        <w:t>ame incentives</w:t>
      </w:r>
      <w:r w:rsidR="003A1A4C">
        <w:rPr>
          <w:rFonts w:ascii="Verdana" w:hAnsi="Verdana"/>
        </w:rPr>
        <w:t xml:space="preserve"> </w:t>
      </w:r>
      <w:r w:rsidR="000F0FF2">
        <w:rPr>
          <w:rFonts w:ascii="Verdana" w:hAnsi="Verdana"/>
        </w:rPr>
        <w:t>were provided</w:t>
      </w:r>
      <w:r w:rsidR="00D62921">
        <w:rPr>
          <w:rFonts w:ascii="Verdana" w:hAnsi="Verdana"/>
        </w:rPr>
        <w:t>.</w:t>
      </w:r>
    </w:p>
    <w:p w:rsidR="00C21D4F" w:rsidRDefault="00084CDB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Q</w:t>
      </w:r>
      <w:r w:rsidR="00482B16">
        <w:rPr>
          <w:rFonts w:ascii="Verdana" w:hAnsi="Verdana"/>
        </w:rPr>
        <w:t>uestions of pre-DT</w:t>
      </w:r>
      <w:r w:rsidR="00910B34">
        <w:rPr>
          <w:rFonts w:ascii="Verdana" w:hAnsi="Verdana"/>
        </w:rPr>
        <w:t xml:space="preserve"> were selected </w:t>
      </w:r>
      <w:r w:rsidR="00523FE0">
        <w:rPr>
          <w:rFonts w:ascii="Verdana" w:hAnsi="Verdana"/>
        </w:rPr>
        <w:t>from</w:t>
      </w:r>
      <w:r w:rsidR="00D724AA">
        <w:rPr>
          <w:rFonts w:ascii="Verdana" w:hAnsi="Verdana"/>
        </w:rPr>
        <w:t xml:space="preserve"> the question bank for DTs a</w:t>
      </w:r>
      <w:r w:rsidR="00910B34">
        <w:rPr>
          <w:rFonts w:ascii="Verdana" w:hAnsi="Verdana"/>
        </w:rPr>
        <w:t>s</w:t>
      </w:r>
      <w:r w:rsidR="00D724AA">
        <w:rPr>
          <w:rFonts w:ascii="Verdana" w:hAnsi="Verdana"/>
        </w:rPr>
        <w:t xml:space="preserve"> described</w:t>
      </w:r>
      <w:r w:rsidR="00910B34">
        <w:rPr>
          <w:rFonts w:ascii="Verdana" w:hAnsi="Verdana"/>
        </w:rPr>
        <w:t xml:space="preserve"> </w:t>
      </w:r>
      <w:r w:rsidR="00235FA9">
        <w:rPr>
          <w:rFonts w:ascii="Verdana" w:hAnsi="Verdana"/>
        </w:rPr>
        <w:t xml:space="preserve">in </w:t>
      </w:r>
      <w:r w:rsidR="00910B34">
        <w:rPr>
          <w:rFonts w:ascii="Verdana" w:hAnsi="Verdana"/>
        </w:rPr>
        <w:t xml:space="preserve">Hung et al. (2015). </w:t>
      </w:r>
      <w:r w:rsidR="000F0FF2">
        <w:rPr>
          <w:rFonts w:ascii="Verdana" w:hAnsi="Verdana"/>
        </w:rPr>
        <w:t xml:space="preserve"> </w:t>
      </w:r>
      <w:r w:rsidR="00235FA9">
        <w:rPr>
          <w:rFonts w:ascii="Verdana" w:hAnsi="Verdana"/>
        </w:rPr>
        <w:t xml:space="preserve">The </w:t>
      </w:r>
      <w:r w:rsidR="006F32F5">
        <w:rPr>
          <w:rFonts w:ascii="Verdana" w:hAnsi="Verdana"/>
        </w:rPr>
        <w:t>A</w:t>
      </w:r>
      <w:r w:rsidR="008A0205">
        <w:rPr>
          <w:rFonts w:ascii="Verdana" w:hAnsi="Verdana"/>
        </w:rPr>
        <w:t>C</w:t>
      </w:r>
      <w:r w:rsidR="00235FA9">
        <w:rPr>
          <w:rFonts w:ascii="Verdana" w:hAnsi="Verdana"/>
        </w:rPr>
        <w:t xml:space="preserve"> test consists of </w:t>
      </w:r>
      <w:r w:rsidR="00CF652E">
        <w:rPr>
          <w:rFonts w:ascii="Verdana" w:hAnsi="Verdana"/>
        </w:rPr>
        <w:t xml:space="preserve">questions over four underpinning skills: </w:t>
      </w:r>
      <w:r w:rsidR="00235FA9">
        <w:rPr>
          <w:rFonts w:ascii="Verdana" w:hAnsi="Verdana"/>
        </w:rPr>
        <w:t xml:space="preserve">10 </w:t>
      </w:r>
      <w:r w:rsidR="00CF652E">
        <w:rPr>
          <w:rFonts w:ascii="Verdana" w:hAnsi="Verdana"/>
        </w:rPr>
        <w:t>on algebra, 6</w:t>
      </w:r>
      <w:r w:rsidR="00235FA9">
        <w:rPr>
          <w:rFonts w:ascii="Verdana" w:hAnsi="Verdana"/>
        </w:rPr>
        <w:t xml:space="preserve"> on differential c</w:t>
      </w:r>
      <w:r w:rsidR="00AF061E">
        <w:rPr>
          <w:rFonts w:ascii="Verdana" w:hAnsi="Verdana"/>
        </w:rPr>
        <w:t>a</w:t>
      </w:r>
      <w:r w:rsidR="00235FA9">
        <w:rPr>
          <w:rFonts w:ascii="Verdana" w:hAnsi="Verdana"/>
        </w:rPr>
        <w:t>lc</w:t>
      </w:r>
      <w:r w:rsidR="00AF061E">
        <w:rPr>
          <w:rFonts w:ascii="Verdana" w:hAnsi="Verdana"/>
        </w:rPr>
        <w:t>u</w:t>
      </w:r>
      <w:r w:rsidR="00235FA9">
        <w:rPr>
          <w:rFonts w:ascii="Verdana" w:hAnsi="Verdana"/>
        </w:rPr>
        <w:t xml:space="preserve">lus, 8 </w:t>
      </w:r>
      <w:r w:rsidR="00CF652E">
        <w:rPr>
          <w:rFonts w:ascii="Verdana" w:hAnsi="Verdana"/>
        </w:rPr>
        <w:t>o</w:t>
      </w:r>
      <w:r w:rsidR="00235FA9">
        <w:rPr>
          <w:rFonts w:ascii="Verdana" w:hAnsi="Verdana"/>
        </w:rPr>
        <w:t>n integral calculus and 8 on linear algebra.</w:t>
      </w:r>
      <w:r w:rsidR="00F60F1B">
        <w:rPr>
          <w:rFonts w:ascii="Verdana" w:hAnsi="Verdana"/>
        </w:rPr>
        <w:t xml:space="preserve"> </w:t>
      </w:r>
      <w:r w:rsidR="000F0FF2">
        <w:rPr>
          <w:rFonts w:ascii="Verdana" w:hAnsi="Verdana"/>
        </w:rPr>
        <w:t xml:space="preserve"> </w:t>
      </w:r>
      <w:r w:rsidR="00160B35" w:rsidRPr="00160B35">
        <w:rPr>
          <w:rFonts w:ascii="Verdana" w:hAnsi="Verdana"/>
        </w:rPr>
        <w:t xml:space="preserve">For ease of data analysis, the project team decided to use the same questions </w:t>
      </w:r>
      <w:r w:rsidR="000F0FF2">
        <w:rPr>
          <w:rFonts w:ascii="Verdana" w:hAnsi="Verdana"/>
        </w:rPr>
        <w:t xml:space="preserve">for the post-tests </w:t>
      </w:r>
      <w:r w:rsidR="00160B35" w:rsidRPr="00160B35">
        <w:rPr>
          <w:rFonts w:ascii="Verdana" w:hAnsi="Verdana"/>
        </w:rPr>
        <w:t xml:space="preserve">as in the pre-tests </w:t>
      </w:r>
      <w:r w:rsidR="006626E3">
        <w:rPr>
          <w:rFonts w:ascii="Verdana" w:hAnsi="Verdana"/>
        </w:rPr>
        <w:t>because</w:t>
      </w:r>
      <w:r w:rsidR="00160B35" w:rsidRPr="00160B35">
        <w:rPr>
          <w:rFonts w:ascii="Verdana" w:hAnsi="Verdana"/>
        </w:rPr>
        <w:t xml:space="preserve"> the test scores of the two tests </w:t>
      </w:r>
      <w:r w:rsidR="00913BCE">
        <w:rPr>
          <w:rFonts w:ascii="Verdana" w:hAnsi="Verdana"/>
        </w:rPr>
        <w:t>could</w:t>
      </w:r>
      <w:r w:rsidR="00160B35" w:rsidRPr="00160B35">
        <w:rPr>
          <w:rFonts w:ascii="Verdana" w:hAnsi="Verdana"/>
        </w:rPr>
        <w:t xml:space="preserve"> be treated as</w:t>
      </w:r>
      <w:r w:rsidR="00CA707E">
        <w:rPr>
          <w:rFonts w:ascii="Verdana" w:hAnsi="Verdana"/>
        </w:rPr>
        <w:t xml:space="preserve"> </w:t>
      </w:r>
      <w:r w:rsidR="00160B35" w:rsidRPr="00160B35">
        <w:rPr>
          <w:rFonts w:ascii="Verdana" w:hAnsi="Verdana"/>
        </w:rPr>
        <w:t xml:space="preserve">continuous </w:t>
      </w:r>
      <w:r w:rsidR="00CA707E">
        <w:rPr>
          <w:rFonts w:ascii="Verdana" w:hAnsi="Verdana"/>
        </w:rPr>
        <w:t>variables</w:t>
      </w:r>
      <w:r w:rsidR="00160B35" w:rsidRPr="00160B35">
        <w:rPr>
          <w:rFonts w:ascii="Verdana" w:hAnsi="Verdana"/>
        </w:rPr>
        <w:t>, rather than ordinal one</w:t>
      </w:r>
      <w:r w:rsidR="00CA707E">
        <w:rPr>
          <w:rFonts w:ascii="Verdana" w:hAnsi="Verdana"/>
        </w:rPr>
        <w:t>s</w:t>
      </w:r>
      <w:r w:rsidR="00160B35" w:rsidRPr="00160B35">
        <w:rPr>
          <w:rFonts w:ascii="Verdana" w:hAnsi="Verdana"/>
        </w:rPr>
        <w:t xml:space="preserve"> </w:t>
      </w:r>
      <w:r w:rsidR="00685648">
        <w:rPr>
          <w:rFonts w:ascii="Verdana" w:hAnsi="Verdana"/>
        </w:rPr>
        <w:t>for</w:t>
      </w:r>
      <w:r w:rsidR="0063112E">
        <w:rPr>
          <w:rFonts w:ascii="Verdana" w:hAnsi="Verdana"/>
        </w:rPr>
        <w:t xml:space="preserve"> </w:t>
      </w:r>
      <w:r w:rsidR="00685648">
        <w:rPr>
          <w:rFonts w:ascii="Verdana" w:hAnsi="Verdana"/>
        </w:rPr>
        <w:t>analysis</w:t>
      </w:r>
      <w:r w:rsidR="00E011D5">
        <w:rPr>
          <w:rFonts w:ascii="Verdana" w:hAnsi="Verdana"/>
        </w:rPr>
        <w:t>.</w:t>
      </w:r>
    </w:p>
    <w:p w:rsidR="00FC571A" w:rsidRPr="004066C1" w:rsidRDefault="00FC571A" w:rsidP="00FC571A">
      <w:pPr>
        <w:pStyle w:val="Header2"/>
        <w:rPr>
          <w:rFonts w:ascii="Verdana" w:hAnsi="Verdana"/>
        </w:rPr>
      </w:pPr>
      <w:r>
        <w:rPr>
          <w:rFonts w:ascii="Verdana" w:hAnsi="Verdana"/>
        </w:rPr>
        <w:t>2.2</w:t>
      </w:r>
      <w:r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>Evaluation of e-Packages</w:t>
      </w:r>
    </w:p>
    <w:p w:rsidR="00D160E1" w:rsidRPr="007522D0" w:rsidRDefault="007522D0" w:rsidP="005F6A44">
      <w:pPr>
        <w:pStyle w:val="Body"/>
        <w:snapToGrid w:val="0"/>
        <w:spacing w:line="240" w:lineRule="auto"/>
        <w:rPr>
          <w:rFonts w:ascii="Verdana" w:hAnsi="Verdana"/>
        </w:rPr>
      </w:pPr>
      <w:r w:rsidRPr="007522D0">
        <w:rPr>
          <w:rFonts w:ascii="Verdana" w:hAnsi="Verdana"/>
        </w:rPr>
        <w:t>Since 2012, three mathematics e-books, namely Foundation Mathematics, Foundation Statistics and Engineering Mathematics, have been made available to students who took mathematics subjects off</w:t>
      </w:r>
      <w:r w:rsidR="00301594">
        <w:rPr>
          <w:rFonts w:ascii="Verdana" w:hAnsi="Verdana"/>
        </w:rPr>
        <w:t>ered by AMA.</w:t>
      </w:r>
      <w:r w:rsidR="00355F63">
        <w:rPr>
          <w:rFonts w:ascii="Verdana" w:hAnsi="Verdana"/>
        </w:rPr>
        <w:t xml:space="preserve"> </w:t>
      </w:r>
      <w:r w:rsidR="000F0FF2">
        <w:rPr>
          <w:rFonts w:ascii="Verdana" w:hAnsi="Verdana"/>
        </w:rPr>
        <w:t xml:space="preserve"> </w:t>
      </w:r>
      <w:r w:rsidR="00355F63">
        <w:rPr>
          <w:rFonts w:ascii="Verdana" w:hAnsi="Verdana"/>
        </w:rPr>
        <w:t>The e-learning packages</w:t>
      </w:r>
      <w:r w:rsidR="00301594">
        <w:rPr>
          <w:rFonts w:ascii="Verdana" w:hAnsi="Verdana"/>
        </w:rPr>
        <w:t xml:space="preserve"> </w:t>
      </w:r>
      <w:r w:rsidR="00355F63">
        <w:rPr>
          <w:rFonts w:ascii="Verdana" w:hAnsi="Verdana"/>
        </w:rPr>
        <w:t xml:space="preserve">enable student-centered independent study outside the classroom and also facilitate group learning, peer assessment and self-assessment. </w:t>
      </w:r>
      <w:r w:rsidR="000F0FF2">
        <w:rPr>
          <w:rFonts w:ascii="Verdana" w:hAnsi="Verdana"/>
        </w:rPr>
        <w:t xml:space="preserve"> </w:t>
      </w:r>
      <w:r w:rsidR="005D0B35">
        <w:rPr>
          <w:rFonts w:ascii="Verdana" w:hAnsi="Verdana"/>
        </w:rPr>
        <w:t xml:space="preserve">Surveys, targeted at students taking mathematics subjects offered by AMA, </w:t>
      </w:r>
      <w:r w:rsidRPr="007522D0">
        <w:rPr>
          <w:rFonts w:ascii="Verdana" w:hAnsi="Verdana"/>
        </w:rPr>
        <w:t xml:space="preserve">were conducted annually to obtain students’ feedback. </w:t>
      </w:r>
      <w:r w:rsidR="000F0FF2">
        <w:rPr>
          <w:rFonts w:ascii="Verdana" w:hAnsi="Verdana"/>
        </w:rPr>
        <w:t xml:space="preserve"> </w:t>
      </w:r>
      <w:r w:rsidRPr="007522D0">
        <w:rPr>
          <w:rFonts w:ascii="Verdana" w:hAnsi="Verdana"/>
        </w:rPr>
        <w:t xml:space="preserve">In </w:t>
      </w:r>
      <w:r w:rsidRPr="007522D0">
        <w:rPr>
          <w:rFonts w:ascii="Verdana" w:hAnsi="Verdana"/>
        </w:rPr>
        <w:lastRenderedPageBreak/>
        <w:t>spring of 2016, two more questions were added to evaluate the popularity of the e-tools and to obtain the general overall comments about the e-books.</w:t>
      </w:r>
    </w:p>
    <w:p w:rsidR="00FC571A" w:rsidRDefault="00FC571A" w:rsidP="00594696">
      <w:pPr>
        <w:pStyle w:val="Header1"/>
        <w:rPr>
          <w:rFonts w:ascii="Verdana" w:hAnsi="Verdana"/>
        </w:rPr>
      </w:pPr>
    </w:p>
    <w:p w:rsidR="00594696" w:rsidRDefault="00594696" w:rsidP="00594696">
      <w:pPr>
        <w:pStyle w:val="Header1"/>
        <w:rPr>
          <w:rFonts w:ascii="Verdana" w:hAnsi="Verdana"/>
        </w:rPr>
      </w:pPr>
      <w:r>
        <w:rPr>
          <w:rFonts w:ascii="Verdana" w:hAnsi="Verdana"/>
        </w:rPr>
        <w:t>3</w:t>
      </w:r>
      <w:r w:rsidRPr="004066C1">
        <w:rPr>
          <w:rFonts w:ascii="Verdana" w:hAnsi="Verdana"/>
        </w:rPr>
        <w:t xml:space="preserve">. </w:t>
      </w:r>
      <w:r w:rsidR="00FC571A">
        <w:rPr>
          <w:rFonts w:ascii="Verdana" w:hAnsi="Verdana"/>
        </w:rPr>
        <w:t>Findings of Pre- and Post- Diagnostic e-Assessment</w:t>
      </w:r>
      <w:r w:rsidR="006F32AD">
        <w:rPr>
          <w:rFonts w:ascii="Verdana" w:hAnsi="Verdana"/>
        </w:rPr>
        <w:t>s</w:t>
      </w:r>
    </w:p>
    <w:p w:rsidR="00A475B3" w:rsidRDefault="00486A20" w:rsidP="005F6A44">
      <w:pPr>
        <w:pStyle w:val="Header2"/>
        <w:snapToGrid w:val="0"/>
        <w:spacing w:after="120" w:line="240" w:lineRule="auto"/>
        <w:rPr>
          <w:rFonts w:ascii="Verdana" w:hAnsi="Verdana"/>
          <w:b w:val="0"/>
          <w:sz w:val="20"/>
        </w:rPr>
      </w:pPr>
      <w:r w:rsidRPr="00486A20">
        <w:rPr>
          <w:rFonts w:ascii="Verdana" w:hAnsi="Verdana"/>
          <w:b w:val="0"/>
          <w:sz w:val="20"/>
        </w:rPr>
        <w:t>In the pre-</w:t>
      </w:r>
      <w:r>
        <w:rPr>
          <w:rFonts w:ascii="Verdana" w:hAnsi="Verdana"/>
          <w:b w:val="0"/>
          <w:sz w:val="20"/>
        </w:rPr>
        <w:t>DT, 431 participants took the algebra test</w:t>
      </w:r>
      <w:r w:rsidR="00E05B28">
        <w:rPr>
          <w:rFonts w:ascii="Verdana" w:hAnsi="Verdana"/>
          <w:b w:val="0"/>
          <w:sz w:val="20"/>
        </w:rPr>
        <w:t xml:space="preserve"> (AL test)</w:t>
      </w:r>
      <w:r>
        <w:rPr>
          <w:rFonts w:ascii="Verdana" w:hAnsi="Verdana"/>
          <w:b w:val="0"/>
          <w:sz w:val="20"/>
        </w:rPr>
        <w:t xml:space="preserve">, while 329 participants took the algebra </w:t>
      </w:r>
      <w:r w:rsidR="00E05B28">
        <w:rPr>
          <w:rFonts w:ascii="Verdana" w:hAnsi="Verdana"/>
          <w:b w:val="0"/>
          <w:sz w:val="20"/>
        </w:rPr>
        <w:t xml:space="preserve">and calculus </w:t>
      </w:r>
      <w:r>
        <w:rPr>
          <w:rFonts w:ascii="Verdana" w:hAnsi="Verdana"/>
          <w:b w:val="0"/>
          <w:sz w:val="20"/>
        </w:rPr>
        <w:t>test</w:t>
      </w:r>
      <w:r w:rsidR="00E05B28">
        <w:rPr>
          <w:rFonts w:ascii="Verdana" w:hAnsi="Verdana"/>
          <w:b w:val="0"/>
          <w:sz w:val="20"/>
        </w:rPr>
        <w:t xml:space="preserve"> (AC test)</w:t>
      </w:r>
      <w:r>
        <w:rPr>
          <w:rFonts w:ascii="Verdana" w:hAnsi="Verdana"/>
          <w:b w:val="0"/>
          <w:sz w:val="20"/>
        </w:rPr>
        <w:t xml:space="preserve">. </w:t>
      </w:r>
      <w:r w:rsidR="000F0FF2">
        <w:rPr>
          <w:rFonts w:ascii="Verdana" w:hAnsi="Verdana"/>
          <w:b w:val="0"/>
          <w:sz w:val="20"/>
        </w:rPr>
        <w:t xml:space="preserve"> </w:t>
      </w:r>
      <w:r w:rsidR="004D21C7">
        <w:rPr>
          <w:rFonts w:ascii="Verdana" w:hAnsi="Verdana"/>
          <w:b w:val="0"/>
          <w:sz w:val="20"/>
        </w:rPr>
        <w:t>S</w:t>
      </w:r>
      <w:r w:rsidR="00A475B3">
        <w:rPr>
          <w:rFonts w:ascii="Verdana" w:hAnsi="Verdana"/>
          <w:b w:val="0"/>
          <w:sz w:val="20"/>
        </w:rPr>
        <w:t xml:space="preserve">tudents’ answering time on each question were </w:t>
      </w:r>
      <w:r w:rsidR="00D01584">
        <w:rPr>
          <w:rFonts w:ascii="Verdana" w:hAnsi="Verdana"/>
          <w:b w:val="0"/>
          <w:sz w:val="20"/>
        </w:rPr>
        <w:t>recorded</w:t>
      </w:r>
      <w:r w:rsidR="00A475B3">
        <w:rPr>
          <w:rFonts w:ascii="Verdana" w:hAnsi="Verdana"/>
          <w:b w:val="0"/>
          <w:sz w:val="20"/>
        </w:rPr>
        <w:t xml:space="preserve"> in Blackboard. </w:t>
      </w:r>
      <w:r w:rsidR="000F0FF2">
        <w:rPr>
          <w:rFonts w:ascii="Verdana" w:hAnsi="Verdana"/>
          <w:b w:val="0"/>
          <w:sz w:val="20"/>
        </w:rPr>
        <w:t xml:space="preserve"> </w:t>
      </w:r>
      <w:r w:rsidR="00A475B3">
        <w:rPr>
          <w:rFonts w:ascii="Verdana" w:hAnsi="Verdana"/>
          <w:b w:val="0"/>
          <w:sz w:val="20"/>
        </w:rPr>
        <w:t xml:space="preserve">A simple screening rule </w:t>
      </w:r>
      <w:r w:rsidR="004D21C7">
        <w:rPr>
          <w:rFonts w:ascii="Verdana" w:hAnsi="Verdana"/>
          <w:b w:val="0"/>
          <w:sz w:val="20"/>
        </w:rPr>
        <w:t>to identify seriously test takers was</w:t>
      </w:r>
      <w:r w:rsidR="00A475B3">
        <w:rPr>
          <w:rFonts w:ascii="Verdana" w:hAnsi="Verdana"/>
          <w:b w:val="0"/>
          <w:sz w:val="20"/>
        </w:rPr>
        <w:t xml:space="preserve"> used</w:t>
      </w:r>
      <w:r w:rsidR="00D01584">
        <w:rPr>
          <w:rFonts w:ascii="Verdana" w:hAnsi="Verdana"/>
          <w:b w:val="0"/>
          <w:sz w:val="20"/>
        </w:rPr>
        <w:t xml:space="preserve"> to identify s</w:t>
      </w:r>
      <w:r w:rsidR="00A475B3">
        <w:rPr>
          <w:rFonts w:ascii="Verdana" w:hAnsi="Verdana"/>
          <w:b w:val="0"/>
          <w:sz w:val="20"/>
        </w:rPr>
        <w:t>tudents</w:t>
      </w:r>
      <w:r w:rsidR="00A475B3" w:rsidRPr="00A475B3">
        <w:rPr>
          <w:rFonts w:ascii="Verdana" w:hAnsi="Verdana"/>
          <w:b w:val="0"/>
          <w:sz w:val="20"/>
        </w:rPr>
        <w:t xml:space="preserve"> answer</w:t>
      </w:r>
      <w:r w:rsidR="00D01584">
        <w:rPr>
          <w:rFonts w:ascii="Verdana" w:hAnsi="Verdana"/>
          <w:b w:val="0"/>
          <w:sz w:val="20"/>
        </w:rPr>
        <w:t>ing</w:t>
      </w:r>
      <w:r w:rsidR="00A475B3" w:rsidRPr="00A475B3">
        <w:rPr>
          <w:rFonts w:ascii="Verdana" w:hAnsi="Verdana"/>
          <w:b w:val="0"/>
          <w:sz w:val="20"/>
        </w:rPr>
        <w:t xml:space="preserve"> more than 50% of the questions and spen</w:t>
      </w:r>
      <w:r w:rsidR="002A3567">
        <w:rPr>
          <w:rFonts w:ascii="Verdana" w:hAnsi="Verdana"/>
          <w:b w:val="0"/>
          <w:sz w:val="20"/>
        </w:rPr>
        <w:t>d</w:t>
      </w:r>
      <w:r w:rsidR="005F6A44">
        <w:rPr>
          <w:rFonts w:ascii="Verdana" w:hAnsi="Verdana"/>
          <w:b w:val="0"/>
          <w:sz w:val="20"/>
        </w:rPr>
        <w:t>ing</w:t>
      </w:r>
      <w:r w:rsidR="00A475B3" w:rsidRPr="00A475B3">
        <w:rPr>
          <w:rFonts w:ascii="Verdana" w:hAnsi="Verdana"/>
          <w:b w:val="0"/>
          <w:sz w:val="20"/>
        </w:rPr>
        <w:t xml:space="preserve"> at least half an hour t</w:t>
      </w:r>
      <w:r w:rsidR="00A475B3">
        <w:rPr>
          <w:rFonts w:ascii="Verdana" w:hAnsi="Verdana"/>
          <w:b w:val="0"/>
          <w:sz w:val="20"/>
        </w:rPr>
        <w:t>o finish the test</w:t>
      </w:r>
      <w:r w:rsidR="00A475B3" w:rsidRPr="00A475B3">
        <w:rPr>
          <w:rFonts w:ascii="Verdana" w:hAnsi="Verdana"/>
          <w:b w:val="0"/>
          <w:sz w:val="20"/>
        </w:rPr>
        <w:t>.</w:t>
      </w:r>
      <w:r w:rsidR="005D1506">
        <w:rPr>
          <w:rFonts w:ascii="Verdana" w:hAnsi="Verdana"/>
          <w:b w:val="0"/>
          <w:sz w:val="20"/>
        </w:rPr>
        <w:t xml:space="preserve"> </w:t>
      </w:r>
      <w:r w:rsidR="00D01584">
        <w:rPr>
          <w:rFonts w:ascii="Verdana" w:hAnsi="Verdana"/>
          <w:b w:val="0"/>
          <w:sz w:val="20"/>
        </w:rPr>
        <w:t xml:space="preserve"> </w:t>
      </w:r>
      <w:r w:rsidR="001D558B">
        <w:rPr>
          <w:rFonts w:ascii="Verdana" w:hAnsi="Verdana"/>
          <w:b w:val="0"/>
          <w:sz w:val="20"/>
        </w:rPr>
        <w:t xml:space="preserve">182 and 146 students </w:t>
      </w:r>
      <w:r w:rsidR="005D1506">
        <w:rPr>
          <w:rFonts w:ascii="Verdana" w:hAnsi="Verdana"/>
          <w:b w:val="0"/>
          <w:sz w:val="20"/>
        </w:rPr>
        <w:t xml:space="preserve">were screened as seriously </w:t>
      </w:r>
      <w:r w:rsidR="00A251BD">
        <w:rPr>
          <w:rFonts w:ascii="Verdana" w:hAnsi="Verdana"/>
          <w:b w:val="0"/>
          <w:sz w:val="20"/>
        </w:rPr>
        <w:t>AL</w:t>
      </w:r>
      <w:r w:rsidR="001D558B">
        <w:rPr>
          <w:rFonts w:ascii="Verdana" w:hAnsi="Verdana"/>
          <w:b w:val="0"/>
          <w:sz w:val="20"/>
        </w:rPr>
        <w:t xml:space="preserve"> and </w:t>
      </w:r>
      <w:r w:rsidR="00A251BD">
        <w:rPr>
          <w:rFonts w:ascii="Verdana" w:hAnsi="Verdana"/>
          <w:b w:val="0"/>
          <w:sz w:val="20"/>
        </w:rPr>
        <w:t>A</w:t>
      </w:r>
      <w:r w:rsidR="00466C2B">
        <w:rPr>
          <w:rFonts w:ascii="Verdana" w:hAnsi="Verdana"/>
          <w:b w:val="0"/>
          <w:sz w:val="20"/>
        </w:rPr>
        <w:t>C</w:t>
      </w:r>
      <w:r w:rsidR="00A251BD">
        <w:rPr>
          <w:rFonts w:ascii="Verdana" w:hAnsi="Verdana"/>
          <w:b w:val="0"/>
          <w:sz w:val="20"/>
        </w:rPr>
        <w:t xml:space="preserve"> </w:t>
      </w:r>
      <w:r w:rsidR="001D558B">
        <w:rPr>
          <w:rFonts w:ascii="Verdana" w:hAnsi="Verdana"/>
          <w:b w:val="0"/>
          <w:sz w:val="20"/>
        </w:rPr>
        <w:t>test</w:t>
      </w:r>
      <w:r w:rsidR="005D1506">
        <w:rPr>
          <w:rFonts w:ascii="Verdana" w:hAnsi="Verdana"/>
          <w:b w:val="0"/>
          <w:sz w:val="20"/>
        </w:rPr>
        <w:t xml:space="preserve"> takers</w:t>
      </w:r>
      <w:r w:rsidR="001D558B">
        <w:rPr>
          <w:rFonts w:ascii="Verdana" w:hAnsi="Verdana"/>
          <w:b w:val="0"/>
          <w:sz w:val="20"/>
        </w:rPr>
        <w:t xml:space="preserve"> respectively. </w:t>
      </w:r>
      <w:r w:rsidR="00D01584">
        <w:rPr>
          <w:rFonts w:ascii="Verdana" w:hAnsi="Verdana"/>
          <w:b w:val="0"/>
          <w:sz w:val="20"/>
        </w:rPr>
        <w:t xml:space="preserve"> </w:t>
      </w:r>
      <w:r w:rsidR="001D558B">
        <w:rPr>
          <w:rFonts w:ascii="Verdana" w:hAnsi="Verdana"/>
          <w:b w:val="0"/>
          <w:sz w:val="20"/>
        </w:rPr>
        <w:t>They were invited for the post-</w:t>
      </w:r>
      <w:r w:rsidR="009D7F6E">
        <w:rPr>
          <w:rFonts w:ascii="Verdana" w:hAnsi="Verdana"/>
          <w:b w:val="0"/>
          <w:sz w:val="20"/>
        </w:rPr>
        <w:t>DT</w:t>
      </w:r>
      <w:r w:rsidR="00492053">
        <w:rPr>
          <w:rFonts w:ascii="Verdana" w:hAnsi="Verdana"/>
          <w:b w:val="0"/>
          <w:sz w:val="20"/>
        </w:rPr>
        <w:t>s</w:t>
      </w:r>
      <w:r w:rsidR="001D558B">
        <w:rPr>
          <w:rFonts w:ascii="Verdana" w:hAnsi="Verdana"/>
          <w:b w:val="0"/>
          <w:sz w:val="20"/>
        </w:rPr>
        <w:t xml:space="preserve"> and 39 and 35 participants took the </w:t>
      </w:r>
      <w:r w:rsidR="00492053">
        <w:rPr>
          <w:rFonts w:ascii="Verdana" w:hAnsi="Verdana"/>
          <w:b w:val="0"/>
          <w:sz w:val="20"/>
        </w:rPr>
        <w:t>AL</w:t>
      </w:r>
      <w:r w:rsidR="001D558B">
        <w:rPr>
          <w:rFonts w:ascii="Verdana" w:hAnsi="Verdana"/>
          <w:b w:val="0"/>
          <w:sz w:val="20"/>
        </w:rPr>
        <w:t xml:space="preserve"> and </w:t>
      </w:r>
      <w:r w:rsidR="00492053">
        <w:rPr>
          <w:rFonts w:ascii="Verdana" w:hAnsi="Verdana"/>
          <w:b w:val="0"/>
          <w:sz w:val="20"/>
        </w:rPr>
        <w:t>AC</w:t>
      </w:r>
      <w:r w:rsidR="001D558B">
        <w:rPr>
          <w:rFonts w:ascii="Verdana" w:hAnsi="Verdana"/>
          <w:b w:val="0"/>
          <w:sz w:val="20"/>
        </w:rPr>
        <w:t xml:space="preserve"> test</w:t>
      </w:r>
      <w:r w:rsidR="000D4BE3">
        <w:rPr>
          <w:rFonts w:ascii="Verdana" w:hAnsi="Verdana"/>
          <w:b w:val="0"/>
          <w:sz w:val="20"/>
        </w:rPr>
        <w:t>s</w:t>
      </w:r>
      <w:r w:rsidR="001D558B">
        <w:rPr>
          <w:rFonts w:ascii="Verdana" w:hAnsi="Verdana"/>
          <w:b w:val="0"/>
          <w:sz w:val="20"/>
        </w:rPr>
        <w:t xml:space="preserve"> respectively. </w:t>
      </w:r>
      <w:r w:rsidR="00D01584">
        <w:rPr>
          <w:rFonts w:ascii="Verdana" w:hAnsi="Verdana"/>
          <w:b w:val="0"/>
          <w:sz w:val="20"/>
        </w:rPr>
        <w:t xml:space="preserve"> </w:t>
      </w:r>
      <w:r w:rsidR="00367928">
        <w:rPr>
          <w:rFonts w:ascii="Verdana" w:hAnsi="Verdana"/>
          <w:b w:val="0"/>
          <w:sz w:val="20"/>
        </w:rPr>
        <w:t>Outliers were found in</w:t>
      </w:r>
      <w:r w:rsidR="00441EB0">
        <w:rPr>
          <w:rFonts w:ascii="Verdana" w:hAnsi="Verdana"/>
          <w:b w:val="0"/>
          <w:sz w:val="20"/>
        </w:rPr>
        <w:t xml:space="preserve"> the preliminary analysis. </w:t>
      </w:r>
      <w:r w:rsidR="00D01584">
        <w:rPr>
          <w:rFonts w:ascii="Verdana" w:hAnsi="Verdana"/>
          <w:b w:val="0"/>
          <w:sz w:val="20"/>
        </w:rPr>
        <w:t xml:space="preserve"> </w:t>
      </w:r>
      <w:r w:rsidR="002403F6">
        <w:rPr>
          <w:rFonts w:ascii="Verdana" w:hAnsi="Verdana"/>
          <w:b w:val="0"/>
          <w:sz w:val="20"/>
        </w:rPr>
        <w:t xml:space="preserve">They were those taking the test with maximum idle time </w:t>
      </w:r>
      <w:r w:rsidR="00D01584">
        <w:rPr>
          <w:rFonts w:ascii="Verdana" w:hAnsi="Verdana"/>
          <w:b w:val="0"/>
          <w:sz w:val="20"/>
        </w:rPr>
        <w:t xml:space="preserve">of </w:t>
      </w:r>
      <w:r w:rsidR="002403F6">
        <w:rPr>
          <w:rFonts w:ascii="Verdana" w:hAnsi="Verdana"/>
          <w:b w:val="0"/>
          <w:sz w:val="20"/>
        </w:rPr>
        <w:t xml:space="preserve">at least 30 minutes and were excluded for </w:t>
      </w:r>
      <w:r w:rsidR="00D01584">
        <w:rPr>
          <w:rFonts w:ascii="Verdana" w:hAnsi="Verdana"/>
          <w:b w:val="0"/>
          <w:sz w:val="20"/>
        </w:rPr>
        <w:t xml:space="preserve">further </w:t>
      </w:r>
      <w:r w:rsidR="002403F6">
        <w:rPr>
          <w:rFonts w:ascii="Verdana" w:hAnsi="Verdana"/>
          <w:b w:val="0"/>
          <w:sz w:val="20"/>
        </w:rPr>
        <w:t>analysis.</w:t>
      </w:r>
      <w:r w:rsidR="005E2475">
        <w:rPr>
          <w:rFonts w:ascii="Verdana" w:hAnsi="Verdana"/>
          <w:b w:val="0"/>
          <w:sz w:val="20"/>
        </w:rPr>
        <w:t xml:space="preserve"> </w:t>
      </w:r>
      <w:r w:rsidR="00D01584">
        <w:rPr>
          <w:rFonts w:ascii="Verdana" w:hAnsi="Verdana"/>
          <w:b w:val="0"/>
          <w:sz w:val="20"/>
        </w:rPr>
        <w:t xml:space="preserve"> </w:t>
      </w:r>
      <w:r w:rsidR="005E2475">
        <w:rPr>
          <w:rFonts w:ascii="Verdana" w:hAnsi="Verdana"/>
          <w:b w:val="0"/>
          <w:sz w:val="20"/>
        </w:rPr>
        <w:t>32 and 30 students were identified as seri</w:t>
      </w:r>
      <w:r w:rsidR="001D7C8A">
        <w:rPr>
          <w:rFonts w:ascii="Verdana" w:hAnsi="Verdana"/>
          <w:b w:val="0"/>
          <w:sz w:val="20"/>
        </w:rPr>
        <w:t xml:space="preserve">ous </w:t>
      </w:r>
      <w:r w:rsidR="00FA5B2C">
        <w:rPr>
          <w:rFonts w:ascii="Verdana" w:hAnsi="Verdana"/>
          <w:b w:val="0"/>
          <w:sz w:val="20"/>
        </w:rPr>
        <w:t xml:space="preserve">AL and AC </w:t>
      </w:r>
      <w:r w:rsidR="001D7C8A">
        <w:rPr>
          <w:rFonts w:ascii="Verdana" w:hAnsi="Verdana"/>
          <w:b w:val="0"/>
          <w:sz w:val="20"/>
        </w:rPr>
        <w:t>test takers</w:t>
      </w:r>
      <w:r w:rsidR="001C6371">
        <w:rPr>
          <w:rFonts w:ascii="Verdana" w:hAnsi="Verdana"/>
          <w:b w:val="0"/>
          <w:sz w:val="20"/>
        </w:rPr>
        <w:t xml:space="preserve"> for analysis.</w:t>
      </w:r>
    </w:p>
    <w:p w:rsidR="00AD2DAB" w:rsidRDefault="00AD2DAB" w:rsidP="00A83780">
      <w:pPr>
        <w:pStyle w:val="Header2"/>
        <w:rPr>
          <w:rFonts w:ascii="Verdana" w:hAnsi="Verdana"/>
        </w:rPr>
      </w:pPr>
    </w:p>
    <w:p w:rsidR="00A83780" w:rsidRDefault="00A83780" w:rsidP="00A83780">
      <w:pPr>
        <w:pStyle w:val="Header2"/>
        <w:rPr>
          <w:rFonts w:ascii="Verdana" w:hAnsi="Verdana"/>
        </w:rPr>
      </w:pPr>
      <w:r>
        <w:rPr>
          <w:rFonts w:ascii="Verdana" w:hAnsi="Verdana"/>
        </w:rPr>
        <w:t>3.1</w:t>
      </w:r>
      <w:r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>Overall Performance</w:t>
      </w:r>
    </w:p>
    <w:p w:rsidR="00D160E1" w:rsidRPr="00BE019D" w:rsidRDefault="00891C9B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Overall results</w:t>
      </w:r>
      <w:r w:rsidRPr="00BE019D">
        <w:rPr>
          <w:rFonts w:ascii="Verdana" w:hAnsi="Verdana"/>
        </w:rPr>
        <w:t xml:space="preserve"> of both pre- and post-</w:t>
      </w:r>
      <w:r>
        <w:rPr>
          <w:rFonts w:ascii="Verdana" w:hAnsi="Verdana"/>
        </w:rPr>
        <w:t>tests scores</w:t>
      </w:r>
      <w:r w:rsidRPr="004D476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were summarized in </w:t>
      </w:r>
      <w:r w:rsidR="004D4760" w:rsidRPr="004D4760">
        <w:rPr>
          <w:rFonts w:ascii="Verdana" w:hAnsi="Verdana"/>
        </w:rPr>
        <w:fldChar w:fldCharType="begin"/>
      </w:r>
      <w:r w:rsidR="004D4760" w:rsidRPr="004D4760">
        <w:rPr>
          <w:rFonts w:ascii="Verdana" w:hAnsi="Verdana"/>
        </w:rPr>
        <w:instrText xml:space="preserve"> REF _Ref482192683 \h </w:instrText>
      </w:r>
      <w:r w:rsidR="004D4760">
        <w:rPr>
          <w:rFonts w:ascii="Verdana" w:hAnsi="Verdana"/>
        </w:rPr>
        <w:instrText xml:space="preserve"> \* MERGEFORMAT </w:instrText>
      </w:r>
      <w:r w:rsidR="004D4760" w:rsidRPr="004D4760">
        <w:rPr>
          <w:rFonts w:ascii="Verdana" w:hAnsi="Verdana"/>
        </w:rPr>
      </w:r>
      <w:r w:rsidR="004D4760" w:rsidRPr="004D4760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Table </w:t>
      </w:r>
      <w:r w:rsidR="00C3792E" w:rsidRPr="00C3792E">
        <w:rPr>
          <w:rFonts w:ascii="Verdana" w:hAnsi="Verdana"/>
          <w:noProof/>
        </w:rPr>
        <w:t>1</w:t>
      </w:r>
      <w:r w:rsidR="004D4760" w:rsidRPr="004D4760">
        <w:rPr>
          <w:rFonts w:ascii="Verdana" w:hAnsi="Verdana"/>
        </w:rPr>
        <w:fldChar w:fldCharType="end"/>
      </w:r>
      <w:r w:rsidR="00D642C2">
        <w:rPr>
          <w:rFonts w:ascii="Verdana" w:hAnsi="Verdana"/>
        </w:rPr>
        <w:t>.</w:t>
      </w:r>
      <w:r w:rsidR="00517B3D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 </w:t>
      </w:r>
      <w:r w:rsidR="00517B3D">
        <w:rPr>
          <w:rFonts w:ascii="Verdana" w:hAnsi="Verdana"/>
        </w:rPr>
        <w:t>S</w:t>
      </w:r>
      <w:r w:rsidR="00D642C2">
        <w:rPr>
          <w:rFonts w:ascii="Verdana" w:hAnsi="Verdana"/>
        </w:rPr>
        <w:t>tu</w:t>
      </w:r>
      <w:r w:rsidR="00BE019D" w:rsidRPr="00BE019D">
        <w:rPr>
          <w:rFonts w:ascii="Verdana" w:hAnsi="Verdana"/>
        </w:rPr>
        <w:t xml:space="preserve">dents’ average scores in post-DTs </w:t>
      </w:r>
      <w:r w:rsidR="00B3191A">
        <w:rPr>
          <w:rFonts w:ascii="Verdana" w:hAnsi="Verdana"/>
        </w:rPr>
        <w:t>are</w:t>
      </w:r>
      <w:r w:rsidR="00517B3D">
        <w:rPr>
          <w:rFonts w:ascii="Verdana" w:hAnsi="Verdana"/>
        </w:rPr>
        <w:t xml:space="preserve"> </w:t>
      </w:r>
      <w:r w:rsidR="00BE019D" w:rsidRPr="00BE019D">
        <w:rPr>
          <w:rFonts w:ascii="Verdana" w:hAnsi="Verdana"/>
        </w:rPr>
        <w:t xml:space="preserve">higher than that of pre-DTs in both tests. </w:t>
      </w:r>
      <w:r w:rsidR="00B3191A">
        <w:rPr>
          <w:rFonts w:ascii="Verdana" w:hAnsi="Verdana"/>
        </w:rPr>
        <w:t xml:space="preserve"> </w:t>
      </w:r>
      <w:r w:rsidR="00602CCC">
        <w:rPr>
          <w:rFonts w:ascii="Verdana" w:hAnsi="Verdana"/>
        </w:rPr>
        <w:t>I</w:t>
      </w:r>
      <w:r w:rsidR="00BE019D" w:rsidRPr="00BE019D">
        <w:rPr>
          <w:rFonts w:ascii="Verdana" w:hAnsi="Verdana"/>
        </w:rPr>
        <w:t>nvestigat</w:t>
      </w:r>
      <w:r w:rsidR="00602CCC">
        <w:rPr>
          <w:rFonts w:ascii="Verdana" w:hAnsi="Verdana"/>
        </w:rPr>
        <w:t>ion</w:t>
      </w:r>
      <w:r w:rsidR="00BE019D" w:rsidRPr="00BE019D">
        <w:rPr>
          <w:rFonts w:ascii="Verdana" w:hAnsi="Verdana"/>
        </w:rPr>
        <w:t xml:space="preserve"> </w:t>
      </w:r>
      <w:r w:rsidR="00602CCC">
        <w:rPr>
          <w:rFonts w:ascii="Verdana" w:hAnsi="Verdana"/>
        </w:rPr>
        <w:t>on</w:t>
      </w:r>
      <w:r w:rsidR="00BE019D" w:rsidRPr="00BE019D">
        <w:rPr>
          <w:rFonts w:ascii="Verdana" w:hAnsi="Verdana"/>
        </w:rPr>
        <w:t xml:space="preserve"> mathematics competencies improvement </w:t>
      </w:r>
      <w:r w:rsidR="00602CCC">
        <w:rPr>
          <w:rFonts w:ascii="Verdana" w:hAnsi="Verdana"/>
        </w:rPr>
        <w:t>was conducted by</w:t>
      </w:r>
      <w:r w:rsidR="00BE019D" w:rsidRPr="00BE019D">
        <w:rPr>
          <w:rFonts w:ascii="Verdana" w:hAnsi="Verdana"/>
        </w:rPr>
        <w:t xml:space="preserve"> paired </w:t>
      </w:r>
      <w:r w:rsidR="00BE019D" w:rsidRPr="00870D16">
        <w:rPr>
          <w:rFonts w:ascii="Verdana" w:hAnsi="Verdana"/>
          <w:i/>
        </w:rPr>
        <w:t>t</w:t>
      </w:r>
      <w:r w:rsidR="00BE019D" w:rsidRPr="00BE019D">
        <w:rPr>
          <w:rFonts w:ascii="Verdana" w:hAnsi="Verdana"/>
        </w:rPr>
        <w:t xml:space="preserve">-tests </w:t>
      </w:r>
      <w:r w:rsidR="00602CCC">
        <w:rPr>
          <w:rFonts w:ascii="Verdana" w:hAnsi="Verdana"/>
        </w:rPr>
        <w:t>to test</w:t>
      </w:r>
      <w:r w:rsidR="00BE019D" w:rsidRPr="00BE019D">
        <w:rPr>
          <w:rFonts w:ascii="Verdana" w:hAnsi="Verdana"/>
        </w:rPr>
        <w:t xml:space="preserve"> whether average post-test score </w:t>
      </w:r>
      <w:r w:rsidR="00B3191A">
        <w:rPr>
          <w:rFonts w:ascii="Verdana" w:hAnsi="Verdana"/>
        </w:rPr>
        <w:t xml:space="preserve">is </w:t>
      </w:r>
      <w:r w:rsidR="00BE019D" w:rsidRPr="00BE019D">
        <w:rPr>
          <w:rFonts w:ascii="Verdana" w:hAnsi="Verdana"/>
        </w:rPr>
        <w:t xml:space="preserve">greater than the average of the pre-test score at 5% significance level. </w:t>
      </w:r>
      <w:r w:rsidR="00B3191A">
        <w:rPr>
          <w:rFonts w:ascii="Verdana" w:hAnsi="Verdana"/>
        </w:rPr>
        <w:t xml:space="preserve"> </w:t>
      </w:r>
      <w:r w:rsidR="00BE019D" w:rsidRPr="00BE019D">
        <w:rPr>
          <w:rFonts w:ascii="Verdana" w:hAnsi="Verdana"/>
        </w:rPr>
        <w:t>For the A</w:t>
      </w:r>
      <w:r w:rsidR="00576E4C">
        <w:rPr>
          <w:rFonts w:ascii="Verdana" w:hAnsi="Verdana"/>
        </w:rPr>
        <w:t>L test</w:t>
      </w:r>
      <w:r w:rsidR="002E2C7E">
        <w:rPr>
          <w:rFonts w:ascii="Verdana" w:hAnsi="Verdana"/>
        </w:rPr>
        <w:t xml:space="preserve"> group</w:t>
      </w:r>
      <w:r w:rsidR="00BE019D" w:rsidRPr="00BE019D">
        <w:rPr>
          <w:rFonts w:ascii="Verdana" w:hAnsi="Verdana"/>
        </w:rPr>
        <w:t>, the</w:t>
      </w:r>
      <w:r w:rsidR="008C432B">
        <w:rPr>
          <w:rFonts w:ascii="Verdana" w:hAnsi="Verdana"/>
        </w:rPr>
        <w:t xml:space="preserve"> sample size </w:t>
      </w:r>
      <w:r w:rsidR="00B3191A">
        <w:rPr>
          <w:rFonts w:ascii="Verdana" w:hAnsi="Verdana"/>
        </w:rPr>
        <w:t xml:space="preserve">is </w:t>
      </w:r>
      <w:r w:rsidR="008C432B">
        <w:rPr>
          <w:rFonts w:ascii="Verdana" w:hAnsi="Verdana"/>
        </w:rPr>
        <w:t>32, the</w:t>
      </w:r>
      <w:r w:rsidR="00BE019D" w:rsidRPr="00BE019D">
        <w:rPr>
          <w:rFonts w:ascii="Verdana" w:hAnsi="Verdana"/>
        </w:rPr>
        <w:t xml:space="preserve"> test statistic </w:t>
      </w:r>
      <w:r w:rsidR="00B3191A">
        <w:rPr>
          <w:rFonts w:ascii="Verdana" w:hAnsi="Verdana"/>
        </w:rPr>
        <w:t xml:space="preserve">is </w:t>
      </w:r>
      <w:r w:rsidR="00BE019D" w:rsidRPr="00BE019D">
        <w:rPr>
          <w:rFonts w:ascii="Verdana" w:hAnsi="Verdana"/>
        </w:rPr>
        <w:t xml:space="preserve">2.12 and the </w:t>
      </w:r>
      <w:r w:rsidR="00BE019D" w:rsidRPr="00870D16">
        <w:rPr>
          <w:rFonts w:ascii="Verdana" w:hAnsi="Verdana"/>
          <w:i/>
        </w:rPr>
        <w:t>p</w:t>
      </w:r>
      <w:r w:rsidR="00BE019D" w:rsidRPr="00BE019D">
        <w:rPr>
          <w:rFonts w:ascii="Verdana" w:hAnsi="Verdana"/>
        </w:rPr>
        <w:t xml:space="preserve">-value is 0.021, which is less than 0.05. </w:t>
      </w:r>
      <w:r w:rsidR="00B3191A">
        <w:rPr>
          <w:rFonts w:ascii="Verdana" w:hAnsi="Verdana"/>
        </w:rPr>
        <w:t xml:space="preserve"> </w:t>
      </w:r>
      <w:r w:rsidR="00BE019D" w:rsidRPr="00BE019D">
        <w:rPr>
          <w:rFonts w:ascii="Verdana" w:hAnsi="Verdana"/>
        </w:rPr>
        <w:t>This indicated that the average post-</w:t>
      </w:r>
      <w:r w:rsidR="0055049C">
        <w:rPr>
          <w:rFonts w:ascii="Verdana" w:hAnsi="Verdana"/>
        </w:rPr>
        <w:t>AL</w:t>
      </w:r>
      <w:r w:rsidR="00BE019D" w:rsidRPr="00BE019D">
        <w:rPr>
          <w:rFonts w:ascii="Verdana" w:hAnsi="Verdana"/>
        </w:rPr>
        <w:t xml:space="preserve"> test score was statistically significant greater than the average pre-</w:t>
      </w:r>
      <w:r w:rsidR="0055049C">
        <w:rPr>
          <w:rFonts w:ascii="Verdana" w:hAnsi="Verdana"/>
        </w:rPr>
        <w:t>AL</w:t>
      </w:r>
      <w:r w:rsidR="00BE019D" w:rsidRPr="00BE019D">
        <w:rPr>
          <w:rFonts w:ascii="Verdana" w:hAnsi="Verdana"/>
        </w:rPr>
        <w:t xml:space="preserve"> test score. </w:t>
      </w:r>
      <w:r w:rsidR="00B3191A">
        <w:rPr>
          <w:rFonts w:ascii="Verdana" w:hAnsi="Verdana"/>
        </w:rPr>
        <w:t xml:space="preserve"> </w:t>
      </w:r>
      <w:r w:rsidR="00BE019D" w:rsidRPr="00BE019D">
        <w:rPr>
          <w:rFonts w:ascii="Verdana" w:hAnsi="Verdana"/>
        </w:rPr>
        <w:t xml:space="preserve">For the </w:t>
      </w:r>
      <w:r w:rsidR="008D5FA9">
        <w:rPr>
          <w:rFonts w:ascii="Verdana" w:hAnsi="Verdana"/>
        </w:rPr>
        <w:t>A</w:t>
      </w:r>
      <w:r w:rsidR="002E2C7E">
        <w:rPr>
          <w:rFonts w:ascii="Verdana" w:hAnsi="Verdana"/>
        </w:rPr>
        <w:t>C</w:t>
      </w:r>
      <w:r w:rsidR="008D5FA9">
        <w:rPr>
          <w:rFonts w:ascii="Verdana" w:hAnsi="Verdana"/>
        </w:rPr>
        <w:t xml:space="preserve"> test</w:t>
      </w:r>
      <w:r w:rsidR="002E2C7E">
        <w:rPr>
          <w:rFonts w:ascii="Verdana" w:hAnsi="Verdana"/>
        </w:rPr>
        <w:t xml:space="preserve"> group</w:t>
      </w:r>
      <w:r w:rsidR="008D5FA9">
        <w:rPr>
          <w:rFonts w:ascii="Verdana" w:hAnsi="Verdana"/>
        </w:rPr>
        <w:t>,</w:t>
      </w:r>
      <w:r w:rsidR="00BE019D" w:rsidRPr="00BE019D">
        <w:rPr>
          <w:rFonts w:ascii="Verdana" w:hAnsi="Verdana"/>
        </w:rPr>
        <w:t xml:space="preserve"> the</w:t>
      </w:r>
      <w:r w:rsidR="00795B66">
        <w:rPr>
          <w:rFonts w:ascii="Verdana" w:hAnsi="Verdana"/>
        </w:rPr>
        <w:t xml:space="preserve"> sample size </w:t>
      </w:r>
      <w:r w:rsidR="00B3191A">
        <w:rPr>
          <w:rFonts w:ascii="Verdana" w:hAnsi="Verdana"/>
        </w:rPr>
        <w:t xml:space="preserve">is </w:t>
      </w:r>
      <w:r w:rsidR="00795B66">
        <w:rPr>
          <w:rFonts w:ascii="Verdana" w:hAnsi="Verdana"/>
        </w:rPr>
        <w:t>30, the</w:t>
      </w:r>
      <w:r w:rsidR="00BE019D" w:rsidRPr="00BE019D">
        <w:rPr>
          <w:rFonts w:ascii="Verdana" w:hAnsi="Verdana"/>
        </w:rPr>
        <w:t xml:space="preserve"> test statistic </w:t>
      </w:r>
      <w:r w:rsidR="00B3191A">
        <w:rPr>
          <w:rFonts w:ascii="Verdana" w:hAnsi="Verdana"/>
        </w:rPr>
        <w:t>is</w:t>
      </w:r>
      <w:r w:rsidR="00BE019D" w:rsidRPr="00BE019D">
        <w:rPr>
          <w:rFonts w:ascii="Verdana" w:hAnsi="Verdana"/>
        </w:rPr>
        <w:t xml:space="preserve"> 3.21 and the </w:t>
      </w:r>
      <w:r w:rsidR="00BE019D" w:rsidRPr="00870D16">
        <w:rPr>
          <w:rFonts w:ascii="Verdana" w:hAnsi="Verdana"/>
          <w:i/>
        </w:rPr>
        <w:t>p</w:t>
      </w:r>
      <w:r w:rsidR="00BE019D" w:rsidRPr="00BE019D">
        <w:rPr>
          <w:rFonts w:ascii="Verdana" w:hAnsi="Verdana"/>
        </w:rPr>
        <w:t>-value is 0.0003. This indicate</w:t>
      </w:r>
      <w:r w:rsidR="00B3191A">
        <w:rPr>
          <w:rFonts w:ascii="Verdana" w:hAnsi="Verdana"/>
        </w:rPr>
        <w:t>s</w:t>
      </w:r>
      <w:r w:rsidR="00BE019D" w:rsidRPr="00BE019D">
        <w:rPr>
          <w:rFonts w:ascii="Verdana" w:hAnsi="Verdana"/>
        </w:rPr>
        <w:t xml:space="preserve"> that the average post-</w:t>
      </w:r>
      <w:r w:rsidR="00595B41">
        <w:rPr>
          <w:rFonts w:ascii="Verdana" w:hAnsi="Verdana"/>
        </w:rPr>
        <w:t>AC</w:t>
      </w:r>
      <w:r w:rsidR="00BE019D" w:rsidRPr="00BE019D">
        <w:rPr>
          <w:rFonts w:ascii="Verdana" w:hAnsi="Verdana"/>
        </w:rPr>
        <w:t xml:space="preserve"> test score </w:t>
      </w:r>
      <w:r w:rsidR="00B3191A">
        <w:rPr>
          <w:rFonts w:ascii="Verdana" w:hAnsi="Verdana"/>
        </w:rPr>
        <w:t xml:space="preserve">is </w:t>
      </w:r>
      <w:r w:rsidR="00BE019D" w:rsidRPr="00BE019D">
        <w:rPr>
          <w:rFonts w:ascii="Verdana" w:hAnsi="Verdana"/>
        </w:rPr>
        <w:t>statistically significant</w:t>
      </w:r>
      <w:r w:rsidR="00B3191A">
        <w:rPr>
          <w:rFonts w:ascii="Verdana" w:hAnsi="Verdana"/>
        </w:rPr>
        <w:t>,</w:t>
      </w:r>
      <w:r w:rsidR="00BE019D" w:rsidRPr="00BE019D">
        <w:rPr>
          <w:rFonts w:ascii="Verdana" w:hAnsi="Verdana"/>
        </w:rPr>
        <w:t xml:space="preserve"> greater than the average pre-</w:t>
      </w:r>
      <w:r w:rsidR="00595B41">
        <w:rPr>
          <w:rFonts w:ascii="Verdana" w:hAnsi="Verdana"/>
        </w:rPr>
        <w:t>AC</w:t>
      </w:r>
      <w:r w:rsidR="00BE019D" w:rsidRPr="00BE019D">
        <w:rPr>
          <w:rFonts w:ascii="Verdana" w:hAnsi="Verdana"/>
        </w:rPr>
        <w:t xml:space="preserve"> test score. </w:t>
      </w:r>
      <w:r w:rsidR="00B3191A">
        <w:rPr>
          <w:rFonts w:ascii="Verdana" w:hAnsi="Verdana"/>
        </w:rPr>
        <w:t xml:space="preserve"> </w:t>
      </w:r>
      <w:r w:rsidR="00BE019D" w:rsidRPr="00BE019D">
        <w:rPr>
          <w:rFonts w:ascii="Verdana" w:hAnsi="Verdana"/>
        </w:rPr>
        <w:t xml:space="preserve">Therefore, it </w:t>
      </w:r>
      <w:r w:rsidR="00B3191A">
        <w:rPr>
          <w:rFonts w:ascii="Verdana" w:hAnsi="Verdana"/>
        </w:rPr>
        <w:t xml:space="preserve">is </w:t>
      </w:r>
      <w:r w:rsidR="00BE019D" w:rsidRPr="00BE019D">
        <w:rPr>
          <w:rFonts w:ascii="Verdana" w:hAnsi="Verdana"/>
        </w:rPr>
        <w:t xml:space="preserve">concluded that the performance of the two </w:t>
      </w:r>
      <w:r w:rsidR="00361817">
        <w:rPr>
          <w:rFonts w:ascii="Verdana" w:hAnsi="Verdana"/>
        </w:rPr>
        <w:t>test</w:t>
      </w:r>
      <w:r w:rsidR="00BE019D" w:rsidRPr="00BE019D">
        <w:rPr>
          <w:rFonts w:ascii="Verdana" w:hAnsi="Verdana"/>
        </w:rPr>
        <w:t xml:space="preserve"> groups </w:t>
      </w:r>
      <w:r w:rsidR="00B3191A">
        <w:rPr>
          <w:rFonts w:ascii="Verdana" w:hAnsi="Verdana"/>
        </w:rPr>
        <w:t xml:space="preserve">has </w:t>
      </w:r>
      <w:r w:rsidR="00BE019D" w:rsidRPr="00BE019D">
        <w:rPr>
          <w:rFonts w:ascii="Verdana" w:hAnsi="Verdana"/>
        </w:rPr>
        <w:t xml:space="preserve">improved after one semester. The mathematical training to the students </w:t>
      </w:r>
      <w:r w:rsidR="00B3191A">
        <w:rPr>
          <w:rFonts w:ascii="Verdana" w:hAnsi="Verdana"/>
        </w:rPr>
        <w:t xml:space="preserve">is </w:t>
      </w:r>
      <w:r w:rsidR="00BE019D" w:rsidRPr="00BE019D">
        <w:rPr>
          <w:rFonts w:ascii="Verdana" w:hAnsi="Verdana"/>
        </w:rPr>
        <w:t>effective.</w:t>
      </w:r>
    </w:p>
    <w:p w:rsidR="00A83780" w:rsidRPr="00C22598" w:rsidRDefault="00C22598" w:rsidP="00C22598">
      <w:pPr>
        <w:pStyle w:val="Caption"/>
      </w:pPr>
      <w:bookmarkStart w:id="1" w:name="_Ref482192683"/>
      <w:bookmarkStart w:id="2" w:name="_Ref4821812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1</w:t>
      </w:r>
      <w:r>
        <w:fldChar w:fldCharType="end"/>
      </w:r>
      <w:bookmarkEnd w:id="1"/>
      <w:r>
        <w:t xml:space="preserve"> </w:t>
      </w:r>
      <w:r w:rsidRPr="00FC338F">
        <w:t>Summary of Pre- and Post-</w:t>
      </w:r>
      <w:r w:rsidR="003768B8">
        <w:t>AC test</w:t>
      </w:r>
      <w:r w:rsidRPr="00FC338F">
        <w:t xml:space="preserve"> and Pre- and Post-A</w:t>
      </w:r>
      <w:r w:rsidR="007F1DEA">
        <w:t>C</w:t>
      </w:r>
      <w:r w:rsidR="003768B8">
        <w:t xml:space="preserve"> test</w:t>
      </w:r>
      <w:r w:rsidRPr="00FC338F">
        <w:t xml:space="preserve"> Results.</w:t>
      </w:r>
      <w:bookmarkEnd w:id="2"/>
    </w:p>
    <w:tbl>
      <w:tblPr>
        <w:tblStyle w:val="TableGrid"/>
        <w:tblW w:w="7006" w:type="dxa"/>
        <w:jc w:val="center"/>
        <w:tblLook w:val="04A0" w:firstRow="1" w:lastRow="0" w:firstColumn="1" w:lastColumn="0" w:noHBand="0" w:noVBand="1"/>
      </w:tblPr>
      <w:tblGrid>
        <w:gridCol w:w="3182"/>
        <w:gridCol w:w="1233"/>
        <w:gridCol w:w="1134"/>
        <w:gridCol w:w="1457"/>
      </w:tblGrid>
      <w:tr w:rsidR="00DD5081" w:rsidRPr="0068724B" w:rsidTr="008A4E10">
        <w:trPr>
          <w:trHeight w:val="348"/>
          <w:jc w:val="center"/>
        </w:trPr>
        <w:tc>
          <w:tcPr>
            <w:tcW w:w="3182" w:type="dxa"/>
          </w:tcPr>
          <w:p w:rsidR="00DD5081" w:rsidRPr="00D86DA1" w:rsidRDefault="00DD5081" w:rsidP="000F0FF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Pre-DT scores</w:t>
            </w:r>
          </w:p>
        </w:tc>
        <w:tc>
          <w:tcPr>
            <w:tcW w:w="1134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Post-DT scores</w:t>
            </w:r>
          </w:p>
        </w:tc>
        <w:tc>
          <w:tcPr>
            <w:tcW w:w="1457" w:type="dxa"/>
          </w:tcPr>
          <w:p w:rsidR="00DD5081" w:rsidRPr="00C5203F" w:rsidRDefault="008A4E10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DT Scores Difference</w:t>
            </w:r>
          </w:p>
        </w:tc>
      </w:tr>
      <w:tr w:rsidR="00DD5081" w:rsidRPr="0068724B" w:rsidTr="008A4E10">
        <w:trPr>
          <w:jc w:val="center"/>
        </w:trPr>
        <w:tc>
          <w:tcPr>
            <w:tcW w:w="7006" w:type="dxa"/>
            <w:gridSpan w:val="4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b/>
                <w:sz w:val="20"/>
                <w:szCs w:val="20"/>
                <w:u w:val="single"/>
              </w:rPr>
              <w:t>Algebra Test</w:t>
            </w:r>
            <w:r w:rsidR="0012220D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Group</w:t>
            </w:r>
            <w:r w:rsidRPr="00C520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5203F">
              <w:rPr>
                <w:rFonts w:ascii="Verdana" w:hAnsi="Verdana"/>
                <w:sz w:val="20"/>
                <w:szCs w:val="20"/>
              </w:rPr>
              <w:t>(32 students)</w:t>
            </w:r>
          </w:p>
        </w:tc>
      </w:tr>
      <w:tr w:rsidR="00DD5081" w:rsidRPr="000911DE" w:rsidTr="008A4E10">
        <w:trPr>
          <w:trHeight w:val="221"/>
          <w:jc w:val="center"/>
        </w:trPr>
        <w:tc>
          <w:tcPr>
            <w:tcW w:w="3182" w:type="dxa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Mean</w:t>
            </w:r>
          </w:p>
        </w:tc>
        <w:tc>
          <w:tcPr>
            <w:tcW w:w="1233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57.7%</w:t>
            </w:r>
          </w:p>
        </w:tc>
        <w:tc>
          <w:tcPr>
            <w:tcW w:w="1134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63.8%</w:t>
            </w:r>
          </w:p>
        </w:tc>
        <w:tc>
          <w:tcPr>
            <w:tcW w:w="1457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6.1%</w:t>
            </w:r>
          </w:p>
        </w:tc>
      </w:tr>
      <w:tr w:rsidR="00DD5081" w:rsidRPr="000911DE" w:rsidTr="008A4E10">
        <w:trPr>
          <w:jc w:val="center"/>
        </w:trPr>
        <w:tc>
          <w:tcPr>
            <w:tcW w:w="3182" w:type="dxa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Standard deviation</w:t>
            </w:r>
          </w:p>
        </w:tc>
        <w:tc>
          <w:tcPr>
            <w:tcW w:w="1233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18.9%</w:t>
            </w:r>
          </w:p>
        </w:tc>
        <w:tc>
          <w:tcPr>
            <w:tcW w:w="1134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18.3%</w:t>
            </w:r>
          </w:p>
        </w:tc>
        <w:tc>
          <w:tcPr>
            <w:tcW w:w="1457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16.4%</w:t>
            </w:r>
          </w:p>
        </w:tc>
      </w:tr>
      <w:tr w:rsidR="00DD5081" w:rsidRPr="000911DE" w:rsidTr="008A4E10">
        <w:trPr>
          <w:jc w:val="center"/>
        </w:trPr>
        <w:tc>
          <w:tcPr>
            <w:tcW w:w="7006" w:type="dxa"/>
            <w:gridSpan w:val="4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b/>
                <w:sz w:val="20"/>
                <w:szCs w:val="20"/>
                <w:u w:val="single"/>
              </w:rPr>
              <w:t>Algebra</w:t>
            </w:r>
            <w:r w:rsidR="0042064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&amp; </w:t>
            </w:r>
            <w:r w:rsidR="00420641" w:rsidRPr="00C5203F">
              <w:rPr>
                <w:rFonts w:ascii="Verdana" w:hAnsi="Verdana"/>
                <w:b/>
                <w:sz w:val="20"/>
                <w:szCs w:val="20"/>
                <w:u w:val="single"/>
              </w:rPr>
              <w:t>Calculus</w:t>
            </w:r>
            <w:r w:rsidRPr="00C5203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Test</w:t>
            </w:r>
            <w:r w:rsidR="0012220D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Group</w:t>
            </w:r>
            <w:r w:rsidRPr="00C5203F">
              <w:rPr>
                <w:rFonts w:ascii="Verdana" w:hAnsi="Verdana"/>
                <w:sz w:val="20"/>
                <w:szCs w:val="20"/>
              </w:rPr>
              <w:t xml:space="preserve"> (30 students)</w:t>
            </w:r>
          </w:p>
        </w:tc>
      </w:tr>
      <w:tr w:rsidR="00DD5081" w:rsidRPr="000911DE" w:rsidTr="008A4E10">
        <w:trPr>
          <w:jc w:val="center"/>
        </w:trPr>
        <w:tc>
          <w:tcPr>
            <w:tcW w:w="3182" w:type="dxa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Mean</w:t>
            </w:r>
          </w:p>
        </w:tc>
        <w:tc>
          <w:tcPr>
            <w:tcW w:w="1233" w:type="dxa"/>
            <w:vAlign w:val="bottom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57.3%</w:t>
            </w:r>
          </w:p>
        </w:tc>
        <w:tc>
          <w:tcPr>
            <w:tcW w:w="1134" w:type="dxa"/>
            <w:vAlign w:val="bottom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62.4%</w:t>
            </w:r>
          </w:p>
        </w:tc>
        <w:tc>
          <w:tcPr>
            <w:tcW w:w="1457" w:type="dxa"/>
            <w:vAlign w:val="bottom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5.1%</w:t>
            </w:r>
          </w:p>
        </w:tc>
      </w:tr>
      <w:tr w:rsidR="00DD5081" w:rsidRPr="000911DE" w:rsidTr="008A4E10">
        <w:trPr>
          <w:jc w:val="center"/>
        </w:trPr>
        <w:tc>
          <w:tcPr>
            <w:tcW w:w="3182" w:type="dxa"/>
          </w:tcPr>
          <w:p w:rsidR="00DD5081" w:rsidRPr="00C5203F" w:rsidRDefault="00DD5081" w:rsidP="000F0FF2">
            <w:pPr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Standard deviation</w:t>
            </w:r>
          </w:p>
        </w:tc>
        <w:tc>
          <w:tcPr>
            <w:tcW w:w="1233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18.3%</w:t>
            </w:r>
          </w:p>
        </w:tc>
        <w:tc>
          <w:tcPr>
            <w:tcW w:w="1134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15.0%</w:t>
            </w:r>
          </w:p>
        </w:tc>
        <w:tc>
          <w:tcPr>
            <w:tcW w:w="1457" w:type="dxa"/>
          </w:tcPr>
          <w:p w:rsidR="00DD5081" w:rsidRPr="00C5203F" w:rsidRDefault="00DD5081" w:rsidP="000F0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03F">
              <w:rPr>
                <w:rFonts w:ascii="Verdana" w:hAnsi="Verdana"/>
                <w:sz w:val="20"/>
                <w:szCs w:val="20"/>
              </w:rPr>
              <w:t>8.7%</w:t>
            </w:r>
          </w:p>
        </w:tc>
      </w:tr>
    </w:tbl>
    <w:p w:rsidR="00A83780" w:rsidRPr="004066C1" w:rsidRDefault="00A83780" w:rsidP="009703EE">
      <w:pPr>
        <w:pStyle w:val="Header2"/>
        <w:spacing w:before="240"/>
        <w:rPr>
          <w:rFonts w:ascii="Verdana" w:hAnsi="Verdana"/>
        </w:rPr>
      </w:pPr>
      <w:r>
        <w:rPr>
          <w:rFonts w:ascii="Verdana" w:hAnsi="Verdana"/>
        </w:rPr>
        <w:t>3.2</w:t>
      </w:r>
      <w:r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Underpinning Skills of Algebra </w:t>
      </w:r>
      <w:r w:rsidR="007945A2">
        <w:rPr>
          <w:rFonts w:ascii="Verdana" w:hAnsi="Verdana"/>
        </w:rPr>
        <w:t xml:space="preserve">&amp; Calculus </w:t>
      </w:r>
      <w:r>
        <w:rPr>
          <w:rFonts w:ascii="Verdana" w:hAnsi="Verdana"/>
        </w:rPr>
        <w:t>Test</w:t>
      </w:r>
      <w:r w:rsidR="007945A2">
        <w:rPr>
          <w:rFonts w:ascii="Verdana" w:hAnsi="Verdana"/>
        </w:rPr>
        <w:t xml:space="preserve"> Group</w:t>
      </w:r>
    </w:p>
    <w:p w:rsidR="00EF2FB5" w:rsidRDefault="00B418A0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C5203F" w:rsidRPr="00C5203F">
        <w:rPr>
          <w:rFonts w:ascii="Verdana" w:hAnsi="Verdana"/>
        </w:rPr>
        <w:t>he extent of improvement in the four underpinning skills</w:t>
      </w:r>
      <w:r w:rsidR="00870DA1">
        <w:rPr>
          <w:rFonts w:ascii="Verdana" w:hAnsi="Verdana"/>
        </w:rPr>
        <w:t xml:space="preserve"> in </w:t>
      </w:r>
      <w:r w:rsidR="00870DA1" w:rsidRPr="00C5203F">
        <w:rPr>
          <w:rFonts w:ascii="Verdana" w:hAnsi="Verdana"/>
        </w:rPr>
        <w:t>Algebra (ALG), Differential Calculus (DC), Integral Calculus (IC),</w:t>
      </w:r>
      <w:r w:rsidR="00870DA1">
        <w:rPr>
          <w:rFonts w:ascii="Verdana" w:hAnsi="Verdana"/>
        </w:rPr>
        <w:t xml:space="preserve"> </w:t>
      </w:r>
      <w:proofErr w:type="gramStart"/>
      <w:r w:rsidR="00870DA1">
        <w:rPr>
          <w:rFonts w:ascii="Verdana" w:hAnsi="Verdana"/>
        </w:rPr>
        <w:t>Linear</w:t>
      </w:r>
      <w:proofErr w:type="gramEnd"/>
      <w:r w:rsidR="00870DA1">
        <w:rPr>
          <w:rFonts w:ascii="Verdana" w:hAnsi="Verdana"/>
        </w:rPr>
        <w:t xml:space="preserve"> Algebra (LA) are </w:t>
      </w:r>
      <w:r w:rsidR="00525557">
        <w:rPr>
          <w:rFonts w:ascii="Verdana" w:hAnsi="Verdana"/>
        </w:rPr>
        <w:t>shown</w:t>
      </w:r>
      <w:r w:rsidR="00870DA1">
        <w:rPr>
          <w:rFonts w:ascii="Verdana" w:hAnsi="Verdana"/>
        </w:rPr>
        <w:t xml:space="preserve"> i</w:t>
      </w:r>
      <w:r w:rsidR="00870DA1" w:rsidRPr="00870DA1">
        <w:rPr>
          <w:rFonts w:ascii="Verdana" w:hAnsi="Verdana"/>
        </w:rPr>
        <w:t xml:space="preserve">n </w:t>
      </w:r>
      <w:r w:rsidR="00870DA1" w:rsidRPr="00870DA1">
        <w:rPr>
          <w:rFonts w:ascii="Verdana" w:hAnsi="Verdana"/>
        </w:rPr>
        <w:fldChar w:fldCharType="begin"/>
      </w:r>
      <w:r w:rsidR="00870DA1" w:rsidRPr="00870DA1">
        <w:rPr>
          <w:rFonts w:ascii="Verdana" w:hAnsi="Verdana"/>
        </w:rPr>
        <w:instrText xml:space="preserve"> REF _Ref482713918 \h </w:instrText>
      </w:r>
      <w:r w:rsidR="00870DA1">
        <w:rPr>
          <w:rFonts w:ascii="Verdana" w:hAnsi="Verdana"/>
        </w:rPr>
        <w:instrText xml:space="preserve"> \* MERGEFORMAT </w:instrText>
      </w:r>
      <w:r w:rsidR="00870DA1" w:rsidRPr="00870DA1">
        <w:rPr>
          <w:rFonts w:ascii="Verdana" w:hAnsi="Verdana"/>
        </w:rPr>
      </w:r>
      <w:r w:rsidR="00870DA1" w:rsidRPr="00870DA1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Table </w:t>
      </w:r>
      <w:r w:rsidR="00C3792E" w:rsidRPr="00C3792E">
        <w:rPr>
          <w:rFonts w:ascii="Verdana" w:hAnsi="Verdana"/>
          <w:noProof/>
        </w:rPr>
        <w:t>2</w:t>
      </w:r>
      <w:r w:rsidR="00870DA1" w:rsidRPr="00870DA1">
        <w:rPr>
          <w:rFonts w:ascii="Verdana" w:hAnsi="Verdana"/>
        </w:rPr>
        <w:fldChar w:fldCharType="end"/>
      </w:r>
      <w:r w:rsidR="00870DA1" w:rsidRPr="00870DA1">
        <w:rPr>
          <w:rFonts w:ascii="Verdana" w:hAnsi="Verdana"/>
        </w:rPr>
        <w:t>.</w:t>
      </w:r>
    </w:p>
    <w:p w:rsidR="00EF2FB5" w:rsidRDefault="00EF2FB5" w:rsidP="00EF2FB5">
      <w:pPr>
        <w:pStyle w:val="Caption"/>
      </w:pPr>
      <w:bookmarkStart w:id="3" w:name="_Ref48271391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2</w:t>
      </w:r>
      <w:r>
        <w:fldChar w:fldCharType="end"/>
      </w:r>
      <w:bookmarkEnd w:id="3"/>
      <w:r>
        <w:t xml:space="preserve"> </w:t>
      </w:r>
      <w:r w:rsidRPr="00A939C2">
        <w:t>Summary of Underpinning Skills Performance in Pre- and Post-</w:t>
      </w:r>
      <w:r>
        <w:t>AC test</w:t>
      </w:r>
      <w:r w:rsidRPr="00A939C2">
        <w:t>.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105"/>
        <w:gridCol w:w="1134"/>
        <w:gridCol w:w="2062"/>
        <w:gridCol w:w="1985"/>
      </w:tblGrid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b/>
                <w:sz w:val="20"/>
                <w:u w:val="single"/>
              </w:rPr>
              <w:t>Algebra</w:t>
            </w:r>
            <w:r>
              <w:rPr>
                <w:rFonts w:ascii="Verdana" w:hAnsi="Verdana"/>
                <w:b/>
                <w:sz w:val="20"/>
                <w:u w:val="single"/>
              </w:rPr>
              <w:t xml:space="preserve"> &amp; Calculus</w:t>
            </w:r>
            <w:r w:rsidRPr="00C5203F">
              <w:rPr>
                <w:rFonts w:ascii="Verdana" w:hAnsi="Verdana"/>
                <w:b/>
                <w:sz w:val="20"/>
                <w:u w:val="single"/>
              </w:rPr>
              <w:t xml:space="preserve"> Test</w:t>
            </w:r>
            <w:r w:rsidRPr="00C5203F">
              <w:rPr>
                <w:rFonts w:ascii="Verdana" w:hAnsi="Verdana"/>
                <w:sz w:val="20"/>
              </w:rPr>
              <w:t xml:space="preserve"> (30 students)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Average Pre-DT Scores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Average Post-DT scores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EF2FB5" w:rsidRPr="001A44E5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Average Pre- and Post-DT Scores Difference</w:t>
            </w:r>
          </w:p>
        </w:tc>
        <w:tc>
          <w:tcPr>
            <w:tcW w:w="1985" w:type="dxa"/>
            <w:vAlign w:val="bottom"/>
          </w:tcPr>
          <w:p w:rsidR="00EF2FB5" w:rsidRPr="00C5203F" w:rsidRDefault="00EF2FB5" w:rsidP="003A148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95% Bonferroni Confidence</w:t>
            </w:r>
            <w:r w:rsidR="008355A3">
              <w:rPr>
                <w:rFonts w:ascii="Verdana" w:hAnsi="Verdana"/>
                <w:sz w:val="20"/>
              </w:rPr>
              <w:t xml:space="preserve"> </w:t>
            </w:r>
            <w:r w:rsidRPr="00C5203F">
              <w:rPr>
                <w:rFonts w:ascii="Verdana" w:hAnsi="Verdana"/>
                <w:sz w:val="20"/>
              </w:rPr>
              <w:t>Intervals</w:t>
            </w:r>
          </w:p>
        </w:tc>
      </w:tr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Algebra (ALG)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88.1%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88.1%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0.0%</w:t>
            </w:r>
          </w:p>
        </w:tc>
        <w:tc>
          <w:tcPr>
            <w:tcW w:w="1985" w:type="dxa"/>
            <w:vAlign w:val="bottom"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(-5.8%, 5.8%)</w:t>
            </w:r>
          </w:p>
        </w:tc>
      </w:tr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Differential Calculus (DC)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47.8%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57.2%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9.4%</w:t>
            </w:r>
          </w:p>
        </w:tc>
        <w:tc>
          <w:tcPr>
            <w:tcW w:w="1985" w:type="dxa"/>
            <w:vAlign w:val="bottom"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(1.0%, 17.8%)</w:t>
            </w:r>
          </w:p>
        </w:tc>
      </w:tr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Integral Calculus (IC)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35.8%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39.2%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3.3%</w:t>
            </w:r>
          </w:p>
        </w:tc>
        <w:tc>
          <w:tcPr>
            <w:tcW w:w="1985" w:type="dxa"/>
            <w:vAlign w:val="bottom"/>
          </w:tcPr>
          <w:p w:rsidR="00EF2FB5" w:rsidRPr="00C5203F" w:rsidDel="005051D3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(-3.4%, 10.1%)</w:t>
            </w:r>
          </w:p>
        </w:tc>
      </w:tr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Linear Algebra (LA)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52.1%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60.4%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8.3%</w:t>
            </w:r>
          </w:p>
        </w:tc>
        <w:tc>
          <w:tcPr>
            <w:tcW w:w="1985" w:type="dxa"/>
            <w:vAlign w:val="bottom"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(-2.1%, 18.7%)</w:t>
            </w:r>
          </w:p>
        </w:tc>
      </w:tr>
      <w:tr w:rsidR="00EF2FB5" w:rsidRPr="00C5203F" w:rsidTr="000F0FF2">
        <w:trPr>
          <w:trHeight w:val="300"/>
          <w:jc w:val="center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5F6A44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Overall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57.3%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62.4%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EF2FB5" w:rsidRPr="00C5203F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  <w:r w:rsidRPr="00C5203F">
              <w:rPr>
                <w:rFonts w:ascii="Verdana" w:hAnsi="Verdana"/>
                <w:sz w:val="20"/>
              </w:rPr>
              <w:t>5.1%</w:t>
            </w:r>
          </w:p>
        </w:tc>
        <w:tc>
          <w:tcPr>
            <w:tcW w:w="1985" w:type="dxa"/>
            <w:vAlign w:val="bottom"/>
          </w:tcPr>
          <w:p w:rsidR="00EF2FB5" w:rsidRPr="00C5203F" w:rsidDel="005051D3" w:rsidRDefault="00EF2FB5" w:rsidP="000F0FF2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01584" w:rsidRDefault="00D01584" w:rsidP="00D160E1">
      <w:pPr>
        <w:pStyle w:val="Body"/>
        <w:rPr>
          <w:rFonts w:ascii="Verdana" w:hAnsi="Verdana"/>
        </w:rPr>
      </w:pPr>
    </w:p>
    <w:p w:rsidR="00D160E1" w:rsidRDefault="00392073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</w:t>
      </w:r>
      <w:r w:rsidR="00E14465">
        <w:rPr>
          <w:rFonts w:ascii="Verdana" w:hAnsi="Verdana"/>
        </w:rPr>
        <w:t xml:space="preserve"> </w:t>
      </w:r>
      <w:r w:rsidR="00C5203F" w:rsidRPr="00C5203F">
        <w:rPr>
          <w:rFonts w:ascii="Verdana" w:hAnsi="Verdana"/>
        </w:rPr>
        <w:t xml:space="preserve">multivariate </w:t>
      </w:r>
      <w:r w:rsidR="00C5203F" w:rsidRPr="003B33C4">
        <w:rPr>
          <w:rFonts w:ascii="Verdana" w:hAnsi="Verdana"/>
          <w:i/>
        </w:rPr>
        <w:t>t</w:t>
      </w:r>
      <w:r w:rsidR="00C5203F" w:rsidRPr="00C5203F">
        <w:rPr>
          <w:rFonts w:ascii="Verdana" w:hAnsi="Verdana"/>
        </w:rPr>
        <w:t>-test w</w:t>
      </w:r>
      <w:r w:rsidR="006E62CF">
        <w:rPr>
          <w:rFonts w:ascii="Verdana" w:hAnsi="Verdana"/>
        </w:rPr>
        <w:t>as</w:t>
      </w:r>
      <w:r w:rsidR="00C5203F" w:rsidRPr="00C5203F">
        <w:rPr>
          <w:rFonts w:ascii="Verdana" w:hAnsi="Verdana"/>
        </w:rPr>
        <w:t xml:space="preserve"> conducted</w:t>
      </w:r>
      <w:r w:rsidR="00184F1D">
        <w:rPr>
          <w:rFonts w:ascii="Verdana" w:hAnsi="Verdana"/>
        </w:rPr>
        <w:t xml:space="preserve"> </w:t>
      </w:r>
      <w:r w:rsidR="00C5203F" w:rsidRPr="00C5203F">
        <w:rPr>
          <w:rFonts w:ascii="Verdana" w:hAnsi="Verdana"/>
        </w:rPr>
        <w:t xml:space="preserve">to test whether there were collectively changes in scores in </w:t>
      </w:r>
      <w:r w:rsidR="00FC7D47">
        <w:rPr>
          <w:rFonts w:ascii="Verdana" w:hAnsi="Verdana"/>
        </w:rPr>
        <w:t>four skills</w:t>
      </w:r>
      <w:r w:rsidR="001458AD">
        <w:rPr>
          <w:rFonts w:ascii="Verdana" w:hAnsi="Verdana"/>
        </w:rPr>
        <w:t>.</w:t>
      </w:r>
      <w:r w:rsidR="00C5203F" w:rsidRPr="00C5203F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 </w:t>
      </w:r>
      <w:r w:rsidR="00C5203F" w:rsidRPr="00C5203F">
        <w:rPr>
          <w:rFonts w:ascii="Verdana" w:hAnsi="Verdana"/>
        </w:rPr>
        <w:t xml:space="preserve">The </w:t>
      </w:r>
      <w:proofErr w:type="spellStart"/>
      <w:r w:rsidR="00C5203F" w:rsidRPr="00C5203F">
        <w:rPr>
          <w:rFonts w:ascii="Verdana" w:hAnsi="Verdana"/>
        </w:rPr>
        <w:t>Hotelling’s</w:t>
      </w:r>
      <w:proofErr w:type="spellEnd"/>
      <w:r w:rsidR="00C5203F" w:rsidRPr="00C5203F">
        <w:rPr>
          <w:rFonts w:ascii="Verdana" w:hAnsi="Verdana"/>
        </w:rPr>
        <w:t xml:space="preserve"> </w:t>
      </w:r>
      <w:r w:rsidR="00C5203F" w:rsidRPr="00715EC3">
        <w:rPr>
          <w:rFonts w:ascii="Verdana" w:hAnsi="Verdana"/>
          <w:i/>
        </w:rPr>
        <w:t>T</w:t>
      </w:r>
      <w:r w:rsidR="00C5203F" w:rsidRPr="00C5203F">
        <w:rPr>
          <w:rFonts w:ascii="Verdana" w:hAnsi="Verdana"/>
        </w:rPr>
        <w:t xml:space="preserve">-square test statistic </w:t>
      </w:r>
      <w:r w:rsidR="00B3191A">
        <w:rPr>
          <w:rFonts w:ascii="Verdana" w:hAnsi="Verdana"/>
        </w:rPr>
        <w:t xml:space="preserve">is </w:t>
      </w:r>
      <w:r w:rsidR="00C5203F" w:rsidRPr="00C5203F">
        <w:rPr>
          <w:rFonts w:ascii="Verdana" w:hAnsi="Verdana"/>
        </w:rPr>
        <w:t xml:space="preserve">17.8 and the </w:t>
      </w:r>
      <w:r w:rsidR="00C5203F" w:rsidRPr="00AD5B78">
        <w:rPr>
          <w:rFonts w:ascii="Verdana" w:hAnsi="Verdana"/>
          <w:i/>
        </w:rPr>
        <w:t>p</w:t>
      </w:r>
      <w:r w:rsidR="00C5203F" w:rsidRPr="00C5203F">
        <w:rPr>
          <w:rFonts w:ascii="Verdana" w:hAnsi="Verdana"/>
        </w:rPr>
        <w:t xml:space="preserve">-value </w:t>
      </w:r>
      <w:r w:rsidR="00B3191A">
        <w:rPr>
          <w:rFonts w:ascii="Verdana" w:hAnsi="Verdana"/>
        </w:rPr>
        <w:t>is</w:t>
      </w:r>
      <w:r w:rsidR="00C5203F" w:rsidRPr="00C5203F">
        <w:rPr>
          <w:rFonts w:ascii="Verdana" w:hAnsi="Verdana"/>
        </w:rPr>
        <w:t xml:space="preserve"> 0.0</w:t>
      </w:r>
      <w:r w:rsidR="006C0BA9">
        <w:rPr>
          <w:rFonts w:ascii="Verdana" w:hAnsi="Verdana"/>
        </w:rPr>
        <w:t xml:space="preserve">12. </w:t>
      </w:r>
      <w:r w:rsidR="00B3191A">
        <w:rPr>
          <w:rFonts w:ascii="Verdana" w:hAnsi="Verdana"/>
        </w:rPr>
        <w:t xml:space="preserve"> </w:t>
      </w:r>
      <w:r w:rsidR="00C5203F" w:rsidRPr="00C5203F">
        <w:rPr>
          <w:rFonts w:ascii="Verdana" w:hAnsi="Verdana"/>
        </w:rPr>
        <w:t xml:space="preserve">Therefore, </w:t>
      </w:r>
      <w:r w:rsidR="004F4935">
        <w:rPr>
          <w:rFonts w:ascii="Verdana" w:hAnsi="Verdana"/>
        </w:rPr>
        <w:t xml:space="preserve">collectively changes in four skills </w:t>
      </w:r>
      <w:r w:rsidR="00B3191A">
        <w:rPr>
          <w:rFonts w:ascii="Verdana" w:hAnsi="Verdana"/>
        </w:rPr>
        <w:t>can</w:t>
      </w:r>
      <w:r w:rsidR="00C5203F" w:rsidRPr="00C5203F">
        <w:rPr>
          <w:rFonts w:ascii="Verdana" w:hAnsi="Verdana"/>
        </w:rPr>
        <w:t xml:space="preserve"> be concluded</w:t>
      </w:r>
      <w:r w:rsidR="00AD2DAB" w:rsidRPr="00AD2DAB">
        <w:rPr>
          <w:rFonts w:ascii="Verdana" w:hAnsi="Verdana"/>
        </w:rPr>
        <w:t xml:space="preserve"> </w:t>
      </w:r>
      <w:r w:rsidR="00AD2DAB" w:rsidRPr="00C5203F">
        <w:rPr>
          <w:rFonts w:ascii="Verdana" w:hAnsi="Verdana"/>
        </w:rPr>
        <w:t>at 5% significance level</w:t>
      </w:r>
      <w:r w:rsidR="00C5203F" w:rsidRPr="00C5203F">
        <w:rPr>
          <w:rFonts w:ascii="Verdana" w:hAnsi="Verdana"/>
        </w:rPr>
        <w:t xml:space="preserve">. </w:t>
      </w:r>
      <w:r w:rsidR="00B3191A">
        <w:rPr>
          <w:rFonts w:ascii="Verdana" w:hAnsi="Verdana"/>
        </w:rPr>
        <w:t xml:space="preserve"> </w:t>
      </w:r>
      <w:r w:rsidR="00280C24">
        <w:rPr>
          <w:rFonts w:ascii="Verdana" w:hAnsi="Verdana"/>
        </w:rPr>
        <w:t>T</w:t>
      </w:r>
      <w:r w:rsidR="00C5203F" w:rsidRPr="00C5203F">
        <w:rPr>
          <w:rFonts w:ascii="Verdana" w:hAnsi="Verdana"/>
        </w:rPr>
        <w:t>o</w:t>
      </w:r>
      <w:r w:rsidR="00280C24">
        <w:rPr>
          <w:rFonts w:ascii="Verdana" w:hAnsi="Verdana"/>
        </w:rPr>
        <w:t xml:space="preserve"> further</w:t>
      </w:r>
      <w:r w:rsidR="00C5203F" w:rsidRPr="00C5203F">
        <w:rPr>
          <w:rFonts w:ascii="Verdana" w:hAnsi="Verdana"/>
        </w:rPr>
        <w:t xml:space="preserve"> investigate any </w:t>
      </w:r>
      <w:r w:rsidR="003D46FA">
        <w:rPr>
          <w:rFonts w:ascii="Verdana" w:hAnsi="Verdana"/>
        </w:rPr>
        <w:t>improvement</w:t>
      </w:r>
      <w:r w:rsidR="00C5203F" w:rsidRPr="00C5203F">
        <w:rPr>
          <w:rFonts w:ascii="Verdana" w:hAnsi="Verdana"/>
        </w:rPr>
        <w:t xml:space="preserve"> in </w:t>
      </w:r>
      <w:r w:rsidR="00247026">
        <w:rPr>
          <w:rFonts w:ascii="Verdana" w:hAnsi="Verdana"/>
        </w:rPr>
        <w:t>each</w:t>
      </w:r>
      <w:r w:rsidR="00C5203F" w:rsidRPr="00C5203F">
        <w:rPr>
          <w:rFonts w:ascii="Verdana" w:hAnsi="Verdana"/>
        </w:rPr>
        <w:t xml:space="preserve"> skil</w:t>
      </w:r>
      <w:r w:rsidR="00247026">
        <w:rPr>
          <w:rFonts w:ascii="Verdana" w:hAnsi="Verdana"/>
        </w:rPr>
        <w:t>l</w:t>
      </w:r>
      <w:r w:rsidR="00C5203F" w:rsidRPr="00C5203F">
        <w:rPr>
          <w:rFonts w:ascii="Verdana" w:hAnsi="Verdana"/>
        </w:rPr>
        <w:t xml:space="preserve">, </w:t>
      </w:r>
      <w:r w:rsidR="00AD2DAB">
        <w:rPr>
          <w:rFonts w:ascii="Verdana" w:hAnsi="Verdana"/>
        </w:rPr>
        <w:t xml:space="preserve">95% </w:t>
      </w:r>
      <w:r w:rsidR="00C5203F" w:rsidRPr="00C5203F">
        <w:rPr>
          <w:rFonts w:ascii="Verdana" w:hAnsi="Verdana"/>
        </w:rPr>
        <w:t xml:space="preserve">Bonferroni Confidence Intervals (Johnson and Wichern, 1992) for the mean difference of pre- and post-DT </w:t>
      </w:r>
      <w:r w:rsidR="00635675">
        <w:rPr>
          <w:rFonts w:ascii="Verdana" w:hAnsi="Verdana"/>
        </w:rPr>
        <w:t>sub-</w:t>
      </w:r>
      <w:r w:rsidR="00C5203F" w:rsidRPr="00C5203F">
        <w:rPr>
          <w:rFonts w:ascii="Verdana" w:hAnsi="Verdana"/>
        </w:rPr>
        <w:t xml:space="preserve">scores in four underpinning skills were </w:t>
      </w:r>
      <w:r w:rsidR="00B3191A">
        <w:rPr>
          <w:rFonts w:ascii="Verdana" w:hAnsi="Verdana"/>
        </w:rPr>
        <w:t xml:space="preserve">presented </w:t>
      </w:r>
      <w:r w:rsidR="00C5203F" w:rsidRPr="00C5203F">
        <w:rPr>
          <w:rFonts w:ascii="Verdana" w:hAnsi="Verdana"/>
        </w:rPr>
        <w:t>in</w:t>
      </w:r>
      <w:r w:rsidR="00725007">
        <w:rPr>
          <w:rFonts w:ascii="Verdana" w:hAnsi="Verdana"/>
        </w:rPr>
        <w:t xml:space="preserve"> </w:t>
      </w:r>
      <w:r w:rsidR="00725007" w:rsidRPr="00870DA1">
        <w:rPr>
          <w:rFonts w:ascii="Verdana" w:hAnsi="Verdana"/>
        </w:rPr>
        <w:fldChar w:fldCharType="begin"/>
      </w:r>
      <w:r w:rsidR="00725007" w:rsidRPr="00870DA1">
        <w:rPr>
          <w:rFonts w:ascii="Verdana" w:hAnsi="Verdana"/>
        </w:rPr>
        <w:instrText xml:space="preserve"> REF _Ref482713918 \h </w:instrText>
      </w:r>
      <w:r w:rsidR="00725007">
        <w:rPr>
          <w:rFonts w:ascii="Verdana" w:hAnsi="Verdana"/>
        </w:rPr>
        <w:instrText xml:space="preserve"> \* MERGEFORMAT </w:instrText>
      </w:r>
      <w:r w:rsidR="00725007" w:rsidRPr="00870DA1">
        <w:rPr>
          <w:rFonts w:ascii="Verdana" w:hAnsi="Verdana"/>
        </w:rPr>
      </w:r>
      <w:r w:rsidR="00725007" w:rsidRPr="00870DA1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Table </w:t>
      </w:r>
      <w:r w:rsidR="00C3792E" w:rsidRPr="00C3792E">
        <w:rPr>
          <w:rFonts w:ascii="Verdana" w:hAnsi="Verdana"/>
          <w:noProof/>
        </w:rPr>
        <w:t>2</w:t>
      </w:r>
      <w:r w:rsidR="00725007" w:rsidRPr="00870DA1">
        <w:rPr>
          <w:rFonts w:ascii="Verdana" w:hAnsi="Verdana"/>
        </w:rPr>
        <w:fldChar w:fldCharType="end"/>
      </w:r>
      <w:r w:rsidR="00B458B0">
        <w:rPr>
          <w:rFonts w:ascii="Verdana" w:hAnsi="Verdana"/>
        </w:rPr>
        <w:t xml:space="preserve">. </w:t>
      </w:r>
      <w:r w:rsidR="00B3191A">
        <w:rPr>
          <w:rFonts w:ascii="Verdana" w:hAnsi="Verdana"/>
        </w:rPr>
        <w:t xml:space="preserve"> </w:t>
      </w:r>
      <w:r w:rsidR="00562111" w:rsidRPr="00C5203F">
        <w:rPr>
          <w:rFonts w:ascii="Verdana" w:hAnsi="Verdana"/>
        </w:rPr>
        <w:t xml:space="preserve">The confidence interval for </w:t>
      </w:r>
      <w:r w:rsidR="00562111">
        <w:rPr>
          <w:rFonts w:ascii="Verdana" w:hAnsi="Verdana"/>
        </w:rPr>
        <w:t>DC</w:t>
      </w:r>
      <w:r w:rsidR="00562111" w:rsidRPr="00C5203F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is </w:t>
      </w:r>
      <w:r w:rsidR="00562111" w:rsidRPr="00C5203F">
        <w:rPr>
          <w:rFonts w:ascii="Verdana" w:hAnsi="Verdana"/>
        </w:rPr>
        <w:t>in the positive region</w:t>
      </w:r>
      <w:r w:rsidR="00C5203F" w:rsidRPr="00C5203F">
        <w:rPr>
          <w:rFonts w:ascii="Verdana" w:hAnsi="Verdana"/>
        </w:rPr>
        <w:t>,</w:t>
      </w:r>
      <w:r w:rsidR="00562111">
        <w:rPr>
          <w:rFonts w:ascii="Verdana" w:hAnsi="Verdana"/>
        </w:rPr>
        <w:t xml:space="preserve"> while the</w:t>
      </w:r>
      <w:r w:rsidR="00B458B0">
        <w:rPr>
          <w:rFonts w:ascii="Verdana" w:hAnsi="Verdana"/>
        </w:rPr>
        <w:t xml:space="preserve"> other</w:t>
      </w:r>
      <w:r w:rsidR="002D25EF">
        <w:rPr>
          <w:rFonts w:ascii="Verdana" w:hAnsi="Verdana"/>
        </w:rPr>
        <w:t xml:space="preserve"> intervals cover zero</w:t>
      </w:r>
      <w:r w:rsidR="007852D2">
        <w:rPr>
          <w:rFonts w:ascii="Verdana" w:hAnsi="Verdana"/>
        </w:rPr>
        <w:t xml:space="preserve">. </w:t>
      </w:r>
      <w:r w:rsidR="00B3191A">
        <w:rPr>
          <w:rFonts w:ascii="Verdana" w:hAnsi="Verdana"/>
        </w:rPr>
        <w:t xml:space="preserve"> </w:t>
      </w:r>
      <w:r w:rsidR="007852D2">
        <w:rPr>
          <w:rFonts w:ascii="Verdana" w:hAnsi="Verdana"/>
        </w:rPr>
        <w:t>This</w:t>
      </w:r>
      <w:r w:rsidR="002D25EF">
        <w:rPr>
          <w:rFonts w:ascii="Verdana" w:hAnsi="Verdana"/>
        </w:rPr>
        <w:t xml:space="preserve"> indicate</w:t>
      </w:r>
      <w:r w:rsidR="00B3191A">
        <w:rPr>
          <w:rFonts w:ascii="Verdana" w:hAnsi="Verdana"/>
        </w:rPr>
        <w:t>s</w:t>
      </w:r>
      <w:r w:rsidR="00C5203F" w:rsidRPr="00C5203F">
        <w:rPr>
          <w:rFonts w:ascii="Verdana" w:hAnsi="Verdana"/>
        </w:rPr>
        <w:t xml:space="preserve"> </w:t>
      </w:r>
      <w:r w:rsidR="00915E88">
        <w:rPr>
          <w:rFonts w:ascii="Verdana" w:hAnsi="Verdana"/>
        </w:rPr>
        <w:t xml:space="preserve">the </w:t>
      </w:r>
      <w:r w:rsidR="00915E88" w:rsidRPr="00C5203F">
        <w:rPr>
          <w:rFonts w:ascii="Verdana" w:hAnsi="Verdana"/>
        </w:rPr>
        <w:t xml:space="preserve">improvement in </w:t>
      </w:r>
      <w:r w:rsidR="00915E88">
        <w:rPr>
          <w:rFonts w:ascii="Verdana" w:hAnsi="Verdana"/>
        </w:rPr>
        <w:t>d</w:t>
      </w:r>
      <w:r w:rsidR="00915E88" w:rsidRPr="00C5203F">
        <w:rPr>
          <w:rFonts w:ascii="Verdana" w:hAnsi="Verdana"/>
        </w:rPr>
        <w:t xml:space="preserve">ifferential </w:t>
      </w:r>
      <w:r w:rsidR="00915E88">
        <w:rPr>
          <w:rFonts w:ascii="Verdana" w:hAnsi="Verdana"/>
        </w:rPr>
        <w:t>c</w:t>
      </w:r>
      <w:r w:rsidR="00915E88" w:rsidRPr="00C5203F">
        <w:rPr>
          <w:rFonts w:ascii="Verdana" w:hAnsi="Verdana"/>
        </w:rPr>
        <w:t xml:space="preserve">alculus </w:t>
      </w:r>
      <w:r w:rsidR="00B3191A">
        <w:rPr>
          <w:rFonts w:ascii="Verdana" w:hAnsi="Verdana"/>
        </w:rPr>
        <w:t xml:space="preserve">is </w:t>
      </w:r>
      <w:r w:rsidR="00915E88" w:rsidRPr="00C5203F">
        <w:rPr>
          <w:rFonts w:ascii="Verdana" w:hAnsi="Verdana"/>
        </w:rPr>
        <w:t>statistically significant</w:t>
      </w:r>
      <w:r w:rsidR="00915E88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>with</w:t>
      </w:r>
      <w:r w:rsidR="00915E88">
        <w:rPr>
          <w:rFonts w:ascii="Verdana" w:hAnsi="Verdana"/>
        </w:rPr>
        <w:t xml:space="preserve"> </w:t>
      </w:r>
      <w:r w:rsidR="00C5203F" w:rsidRPr="00C5203F">
        <w:rPr>
          <w:rFonts w:ascii="Verdana" w:hAnsi="Verdana"/>
        </w:rPr>
        <w:t xml:space="preserve">no </w:t>
      </w:r>
      <w:r w:rsidR="002D25EF">
        <w:rPr>
          <w:rFonts w:ascii="Verdana" w:hAnsi="Verdana"/>
        </w:rPr>
        <w:t xml:space="preserve">statistical </w:t>
      </w:r>
      <w:r w:rsidR="00C5203F" w:rsidRPr="00C5203F">
        <w:rPr>
          <w:rFonts w:ascii="Verdana" w:hAnsi="Verdana"/>
        </w:rPr>
        <w:t xml:space="preserve">difference in the pre- and post-DT scores over </w:t>
      </w:r>
      <w:r w:rsidR="00915E88">
        <w:rPr>
          <w:rFonts w:ascii="Verdana" w:hAnsi="Verdana"/>
        </w:rPr>
        <w:t>a</w:t>
      </w:r>
      <w:r w:rsidR="00C5203F" w:rsidRPr="00C5203F">
        <w:rPr>
          <w:rFonts w:ascii="Verdana" w:hAnsi="Verdana"/>
        </w:rPr>
        <w:t xml:space="preserve">lgebra, </w:t>
      </w:r>
      <w:r w:rsidR="00915E88">
        <w:rPr>
          <w:rFonts w:ascii="Verdana" w:hAnsi="Verdana"/>
        </w:rPr>
        <w:t>i</w:t>
      </w:r>
      <w:r w:rsidR="00C5203F" w:rsidRPr="00C5203F">
        <w:rPr>
          <w:rFonts w:ascii="Verdana" w:hAnsi="Verdana"/>
        </w:rPr>
        <w:t xml:space="preserve">ntegral </w:t>
      </w:r>
      <w:r w:rsidR="00915E88">
        <w:rPr>
          <w:rFonts w:ascii="Verdana" w:hAnsi="Verdana"/>
        </w:rPr>
        <w:t>c</w:t>
      </w:r>
      <w:r w:rsidR="00C5203F" w:rsidRPr="00C5203F">
        <w:rPr>
          <w:rFonts w:ascii="Verdana" w:hAnsi="Verdana"/>
        </w:rPr>
        <w:t xml:space="preserve">alculus and </w:t>
      </w:r>
      <w:r w:rsidR="00915E88">
        <w:rPr>
          <w:rFonts w:ascii="Verdana" w:hAnsi="Verdana"/>
        </w:rPr>
        <w:t>l</w:t>
      </w:r>
      <w:r w:rsidR="00C5203F" w:rsidRPr="00C5203F">
        <w:rPr>
          <w:rFonts w:ascii="Verdana" w:hAnsi="Verdana"/>
        </w:rPr>
        <w:t xml:space="preserve">inear </w:t>
      </w:r>
      <w:r w:rsidR="00915E88">
        <w:rPr>
          <w:rFonts w:ascii="Verdana" w:hAnsi="Verdana"/>
        </w:rPr>
        <w:t>a</w:t>
      </w:r>
      <w:r w:rsidR="00C5203F" w:rsidRPr="00C5203F">
        <w:rPr>
          <w:rFonts w:ascii="Verdana" w:hAnsi="Verdana"/>
        </w:rPr>
        <w:t>lgebra.</w:t>
      </w:r>
      <w:r w:rsidR="00915E88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 </w:t>
      </w:r>
      <w:r w:rsidR="00915E88">
        <w:rPr>
          <w:rFonts w:ascii="Verdana" w:hAnsi="Verdana"/>
        </w:rPr>
        <w:t>The significan</w:t>
      </w:r>
      <w:r w:rsidR="008E3E39">
        <w:rPr>
          <w:rFonts w:ascii="Verdana" w:hAnsi="Verdana"/>
        </w:rPr>
        <w:t>t</w:t>
      </w:r>
      <w:r w:rsidR="00915E88">
        <w:rPr>
          <w:rFonts w:ascii="Verdana" w:hAnsi="Verdana"/>
        </w:rPr>
        <w:t xml:space="preserve"> improvement in </w:t>
      </w:r>
      <w:r w:rsidR="00E14640">
        <w:rPr>
          <w:rFonts w:ascii="Verdana" w:hAnsi="Verdana"/>
        </w:rPr>
        <w:t>differential calculus</w:t>
      </w:r>
      <w:r w:rsidR="00C5203F" w:rsidRPr="00C5203F">
        <w:rPr>
          <w:rFonts w:ascii="Verdana" w:hAnsi="Verdana"/>
        </w:rPr>
        <w:t xml:space="preserve"> contribute</w:t>
      </w:r>
      <w:r w:rsidR="00B3191A">
        <w:rPr>
          <w:rFonts w:ascii="Verdana" w:hAnsi="Verdana"/>
        </w:rPr>
        <w:t>s</w:t>
      </w:r>
      <w:r w:rsidR="00C5203F" w:rsidRPr="00C5203F">
        <w:rPr>
          <w:rFonts w:ascii="Verdana" w:hAnsi="Verdana"/>
        </w:rPr>
        <w:t xml:space="preserve"> to the overall </w:t>
      </w:r>
      <w:r w:rsidR="00425F70">
        <w:rPr>
          <w:rFonts w:ascii="Verdana" w:hAnsi="Verdana"/>
        </w:rPr>
        <w:t xml:space="preserve">statistically significant </w:t>
      </w:r>
      <w:r w:rsidR="00B3470E">
        <w:rPr>
          <w:rFonts w:ascii="Verdana" w:hAnsi="Verdana"/>
        </w:rPr>
        <w:t>improvement</w:t>
      </w:r>
      <w:r w:rsidR="00C5203F" w:rsidRPr="00C5203F">
        <w:rPr>
          <w:rFonts w:ascii="Verdana" w:hAnsi="Verdana"/>
        </w:rPr>
        <w:t xml:space="preserve"> in the </w:t>
      </w:r>
      <w:r w:rsidR="00DB5015">
        <w:rPr>
          <w:rFonts w:ascii="Verdana" w:hAnsi="Verdana"/>
        </w:rPr>
        <w:t>AC</w:t>
      </w:r>
      <w:r w:rsidR="00C5203F" w:rsidRPr="00C5203F">
        <w:rPr>
          <w:rFonts w:ascii="Verdana" w:hAnsi="Verdana"/>
        </w:rPr>
        <w:t xml:space="preserve"> test.</w:t>
      </w:r>
    </w:p>
    <w:p w:rsidR="00A83780" w:rsidRPr="004066C1" w:rsidRDefault="00A83780" w:rsidP="00A83780">
      <w:pPr>
        <w:pStyle w:val="Header2"/>
        <w:rPr>
          <w:rFonts w:ascii="Verdana" w:hAnsi="Verdana"/>
        </w:rPr>
      </w:pPr>
      <w:r>
        <w:rPr>
          <w:rFonts w:ascii="Verdana" w:hAnsi="Verdana"/>
        </w:rPr>
        <w:t>3.3</w:t>
      </w:r>
      <w:r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>Performance Comparison between e-Book Users and Non-e-Book Users</w:t>
      </w:r>
    </w:p>
    <w:p w:rsidR="00D160E1" w:rsidRDefault="001352EA" w:rsidP="005F6A44">
      <w:pPr>
        <w:pStyle w:val="Body"/>
        <w:snapToGrid w:val="0"/>
        <w:spacing w:line="240" w:lineRule="auto"/>
        <w:rPr>
          <w:rFonts w:ascii="Verdana" w:hAnsi="Verdana"/>
        </w:rPr>
      </w:pPr>
      <w:r w:rsidRPr="00210E0B">
        <w:rPr>
          <w:rFonts w:ascii="Verdana" w:hAnsi="Verdana"/>
        </w:rPr>
        <w:t xml:space="preserve">To correlate the student performance with aids of the e-learning packages, </w:t>
      </w:r>
      <w:r>
        <w:rPr>
          <w:rFonts w:ascii="Verdana" w:hAnsi="Verdana"/>
        </w:rPr>
        <w:t>s</w:t>
      </w:r>
      <w:r w:rsidRPr="00210E0B">
        <w:rPr>
          <w:rFonts w:ascii="Verdana" w:hAnsi="Verdana"/>
        </w:rPr>
        <w:t>tudents were split into two groups: e-book users and non-e-book users</w:t>
      </w:r>
      <w:r>
        <w:rPr>
          <w:rFonts w:ascii="Verdana" w:hAnsi="Verdana"/>
        </w:rPr>
        <w:t>.</w:t>
      </w:r>
      <w:r w:rsidRPr="00210E0B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210E0B" w:rsidRPr="00210E0B">
        <w:rPr>
          <w:rFonts w:ascii="Verdana" w:hAnsi="Verdana"/>
        </w:rPr>
        <w:t xml:space="preserve">heir DT scores were </w:t>
      </w:r>
      <w:r w:rsidR="003850B1">
        <w:rPr>
          <w:rFonts w:ascii="Verdana" w:hAnsi="Verdana"/>
        </w:rPr>
        <w:t xml:space="preserve">also </w:t>
      </w:r>
      <w:r w:rsidR="00210E0B" w:rsidRPr="00210E0B">
        <w:rPr>
          <w:rFonts w:ascii="Verdana" w:hAnsi="Verdana"/>
        </w:rPr>
        <w:t>linked with the first semester math</w:t>
      </w:r>
      <w:r w:rsidR="00C6322F">
        <w:rPr>
          <w:rFonts w:ascii="Verdana" w:hAnsi="Verdana"/>
        </w:rPr>
        <w:t>ematics subject examination GPA for analysis.</w:t>
      </w:r>
    </w:p>
    <w:p w:rsidR="00A83780" w:rsidRPr="004066C1" w:rsidRDefault="00A83780" w:rsidP="00A83780">
      <w:pPr>
        <w:pStyle w:val="Header2"/>
        <w:rPr>
          <w:rFonts w:ascii="Verdana" w:hAnsi="Verdana"/>
        </w:rPr>
      </w:pPr>
      <w:r>
        <w:rPr>
          <w:rFonts w:ascii="Verdana" w:hAnsi="Verdana"/>
        </w:rPr>
        <w:t>3.3</w:t>
      </w:r>
      <w:r w:rsidRPr="004066C1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4066C1">
        <w:rPr>
          <w:rFonts w:ascii="Verdana" w:hAnsi="Verdana"/>
        </w:rPr>
        <w:t xml:space="preserve"> </w:t>
      </w:r>
      <w:r>
        <w:rPr>
          <w:rFonts w:ascii="Verdana" w:hAnsi="Verdana"/>
        </w:rPr>
        <w:t>Overall Performance</w:t>
      </w:r>
    </w:p>
    <w:p w:rsidR="00F4778A" w:rsidRDefault="008D13E2" w:rsidP="005F6A44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noProof/>
          <w:lang w:eastAsia="zh-TW"/>
        </w:rPr>
        <w:drawing>
          <wp:anchor distT="0" distB="0" distL="114300" distR="114300" simplePos="0" relativeHeight="251646464" behindDoc="0" locked="0" layoutInCell="1" allowOverlap="1" wp14:anchorId="7B4F431C" wp14:editId="2ACE9032">
            <wp:simplePos x="0" y="0"/>
            <wp:positionH relativeFrom="column">
              <wp:posOffset>791210</wp:posOffset>
            </wp:positionH>
            <wp:positionV relativeFrom="paragraph">
              <wp:posOffset>738505</wp:posOffset>
            </wp:positionV>
            <wp:extent cx="4143600" cy="223920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6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B6" w:rsidRPr="002607B6">
        <w:rPr>
          <w:rFonts w:ascii="Verdana" w:hAnsi="Verdana"/>
        </w:rPr>
        <w:fldChar w:fldCharType="begin"/>
      </w:r>
      <w:r w:rsidR="002607B6" w:rsidRPr="002607B6">
        <w:rPr>
          <w:rFonts w:ascii="Verdana" w:hAnsi="Verdana"/>
        </w:rPr>
        <w:instrText xml:space="preserve"> REF _Ref482181992 \h </w:instrText>
      </w:r>
      <w:r w:rsidR="002607B6">
        <w:rPr>
          <w:rFonts w:ascii="Verdana" w:hAnsi="Verdana"/>
        </w:rPr>
        <w:instrText xml:space="preserve"> \* MERGEFORMAT </w:instrText>
      </w:r>
      <w:r w:rsidR="002607B6" w:rsidRPr="002607B6">
        <w:rPr>
          <w:rFonts w:ascii="Verdana" w:hAnsi="Verdana"/>
        </w:rPr>
      </w:r>
      <w:r w:rsidR="002607B6" w:rsidRPr="002607B6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Figure </w:t>
      </w:r>
      <w:r w:rsidR="00C3792E" w:rsidRPr="00C3792E">
        <w:rPr>
          <w:rFonts w:ascii="Verdana" w:hAnsi="Verdana"/>
          <w:noProof/>
        </w:rPr>
        <w:t>1</w:t>
      </w:r>
      <w:r w:rsidR="002607B6" w:rsidRPr="002607B6">
        <w:rPr>
          <w:rFonts w:ascii="Verdana" w:hAnsi="Verdana"/>
        </w:rPr>
        <w:fldChar w:fldCharType="end"/>
      </w:r>
      <w:r w:rsidR="003F7FAB" w:rsidRPr="003F7FAB">
        <w:rPr>
          <w:rFonts w:ascii="Verdana" w:hAnsi="Verdana"/>
        </w:rPr>
        <w:t xml:space="preserve"> </w:t>
      </w:r>
      <w:r w:rsidR="00B3191A">
        <w:rPr>
          <w:rFonts w:ascii="Verdana" w:hAnsi="Verdana"/>
        </w:rPr>
        <w:t xml:space="preserve">shows </w:t>
      </w:r>
      <w:r w:rsidR="003F7FAB" w:rsidRPr="003F7FAB">
        <w:rPr>
          <w:rFonts w:ascii="Verdana" w:hAnsi="Verdana"/>
        </w:rPr>
        <w:t xml:space="preserve">the dot plot of the DT score differences of each </w:t>
      </w:r>
      <w:r w:rsidR="00B3191A">
        <w:rPr>
          <w:rFonts w:ascii="Verdana" w:hAnsi="Verdana"/>
        </w:rPr>
        <w:t xml:space="preserve">student </w:t>
      </w:r>
      <w:r w:rsidR="003F7FAB" w:rsidRPr="003F7FAB">
        <w:rPr>
          <w:rFonts w:ascii="Verdana" w:hAnsi="Verdana"/>
        </w:rPr>
        <w:t xml:space="preserve">in </w:t>
      </w:r>
      <w:r w:rsidR="00B3191A">
        <w:rPr>
          <w:rFonts w:ascii="Verdana" w:hAnsi="Verdana"/>
        </w:rPr>
        <w:t xml:space="preserve">the </w:t>
      </w:r>
      <w:r w:rsidR="003F7FAB" w:rsidRPr="003F7FAB">
        <w:rPr>
          <w:rFonts w:ascii="Verdana" w:hAnsi="Verdana"/>
        </w:rPr>
        <w:t xml:space="preserve">two groups, where one dot represents one DT score difference of one participant. </w:t>
      </w:r>
      <w:r w:rsidR="00B3191A">
        <w:rPr>
          <w:rFonts w:ascii="Verdana" w:hAnsi="Verdana"/>
        </w:rPr>
        <w:t xml:space="preserve"> </w:t>
      </w:r>
      <w:r w:rsidR="003F7FAB" w:rsidRPr="003F7FAB">
        <w:rPr>
          <w:rFonts w:ascii="Verdana" w:hAnsi="Verdana"/>
        </w:rPr>
        <w:t xml:space="preserve">For the both tests, </w:t>
      </w:r>
      <w:r w:rsidR="00DA1E8E">
        <w:rPr>
          <w:rFonts w:ascii="Verdana" w:hAnsi="Verdana"/>
        </w:rPr>
        <w:t xml:space="preserve">more than half of </w:t>
      </w:r>
      <w:r w:rsidR="00B3191A">
        <w:rPr>
          <w:rFonts w:ascii="Verdana" w:hAnsi="Verdana"/>
        </w:rPr>
        <w:t xml:space="preserve">the </w:t>
      </w:r>
      <w:r w:rsidR="00DA1E8E">
        <w:rPr>
          <w:rFonts w:ascii="Verdana" w:hAnsi="Verdana"/>
        </w:rPr>
        <w:t>observations</w:t>
      </w:r>
      <w:r w:rsidR="003F7FAB" w:rsidRPr="003F7FAB">
        <w:rPr>
          <w:rFonts w:ascii="Verdana" w:hAnsi="Verdana"/>
        </w:rPr>
        <w:t xml:space="preserve"> lied </w:t>
      </w:r>
      <w:r w:rsidR="00B3191A">
        <w:rPr>
          <w:rFonts w:ascii="Verdana" w:hAnsi="Verdana"/>
        </w:rPr>
        <w:t xml:space="preserve">in </w:t>
      </w:r>
      <w:r w:rsidR="003F7FAB" w:rsidRPr="003F7FAB">
        <w:rPr>
          <w:rFonts w:ascii="Verdana" w:hAnsi="Verdana"/>
        </w:rPr>
        <w:t xml:space="preserve">the </w:t>
      </w:r>
      <w:r w:rsidR="00BD5440">
        <w:rPr>
          <w:rFonts w:ascii="Verdana" w:hAnsi="Verdana"/>
        </w:rPr>
        <w:t>positive</w:t>
      </w:r>
      <w:r w:rsidR="003F7FAB" w:rsidRPr="003F7FAB">
        <w:rPr>
          <w:rFonts w:ascii="Verdana" w:hAnsi="Verdana"/>
        </w:rPr>
        <w:t xml:space="preserve"> </w:t>
      </w:r>
      <w:r w:rsidR="006F21FB">
        <w:rPr>
          <w:rFonts w:ascii="Verdana" w:hAnsi="Verdana"/>
        </w:rPr>
        <w:t>region</w:t>
      </w:r>
      <w:r w:rsidR="003F7FAB" w:rsidRPr="003F7FAB">
        <w:rPr>
          <w:rFonts w:ascii="Verdana" w:hAnsi="Verdana"/>
        </w:rPr>
        <w:t xml:space="preserve">. </w:t>
      </w:r>
      <w:r w:rsidR="00B3191A">
        <w:rPr>
          <w:rFonts w:ascii="Verdana" w:hAnsi="Verdana"/>
        </w:rPr>
        <w:t xml:space="preserve"> </w:t>
      </w:r>
      <w:r w:rsidR="003F7FAB" w:rsidRPr="003F7FAB">
        <w:rPr>
          <w:rFonts w:ascii="Verdana" w:hAnsi="Verdana"/>
        </w:rPr>
        <w:t>This indicate</w:t>
      </w:r>
      <w:r w:rsidR="00B3191A">
        <w:rPr>
          <w:rFonts w:ascii="Verdana" w:hAnsi="Verdana"/>
        </w:rPr>
        <w:t>s</w:t>
      </w:r>
      <w:r w:rsidR="003F7FAB" w:rsidRPr="003F7FAB">
        <w:rPr>
          <w:rFonts w:ascii="Verdana" w:hAnsi="Verdana"/>
        </w:rPr>
        <w:t xml:space="preserve"> that the e-book users tend to have greater improvement </w:t>
      </w:r>
      <w:r w:rsidR="00B3191A">
        <w:rPr>
          <w:rFonts w:ascii="Verdana" w:hAnsi="Verdana"/>
        </w:rPr>
        <w:t xml:space="preserve">as compared with </w:t>
      </w:r>
      <w:r w:rsidR="003F7FAB" w:rsidRPr="003F7FAB">
        <w:rPr>
          <w:rFonts w:ascii="Verdana" w:hAnsi="Verdana"/>
        </w:rPr>
        <w:t>the non-e-book users.</w:t>
      </w:r>
    </w:p>
    <w:p w:rsidR="00F4778A" w:rsidRPr="005F6A44" w:rsidRDefault="00F4778A" w:rsidP="00594696">
      <w:pPr>
        <w:pStyle w:val="Header1"/>
        <w:rPr>
          <w:rFonts w:ascii="Verdana" w:hAnsi="Verdana"/>
          <w:b w:val="0"/>
        </w:rPr>
      </w:pPr>
    </w:p>
    <w:p w:rsidR="00F4778A" w:rsidRPr="005F6A44" w:rsidRDefault="00F4778A" w:rsidP="00594696">
      <w:pPr>
        <w:pStyle w:val="Header1"/>
        <w:rPr>
          <w:rFonts w:ascii="Verdana" w:hAnsi="Verdana"/>
          <w:b w:val="0"/>
        </w:rPr>
      </w:pPr>
    </w:p>
    <w:p w:rsidR="00F4778A" w:rsidRPr="005F6A44" w:rsidRDefault="00F4778A" w:rsidP="00594696">
      <w:pPr>
        <w:pStyle w:val="Header1"/>
        <w:rPr>
          <w:rFonts w:ascii="Verdana" w:hAnsi="Verdana"/>
          <w:b w:val="0"/>
        </w:rPr>
      </w:pPr>
    </w:p>
    <w:p w:rsidR="00F4778A" w:rsidRPr="005F6A44" w:rsidRDefault="00F4778A" w:rsidP="00594696">
      <w:pPr>
        <w:pStyle w:val="Header1"/>
        <w:rPr>
          <w:rFonts w:ascii="Verdana" w:hAnsi="Verdana"/>
          <w:b w:val="0"/>
        </w:rPr>
      </w:pPr>
    </w:p>
    <w:p w:rsidR="00F4778A" w:rsidRDefault="00F4778A" w:rsidP="00594696">
      <w:pPr>
        <w:pStyle w:val="Header1"/>
        <w:rPr>
          <w:rFonts w:ascii="Verdana" w:hAnsi="Verdana"/>
          <w:b w:val="0"/>
        </w:rPr>
      </w:pPr>
    </w:p>
    <w:p w:rsidR="00C97464" w:rsidRPr="005F6A44" w:rsidRDefault="00C97464" w:rsidP="00594696">
      <w:pPr>
        <w:pStyle w:val="Header1"/>
        <w:rPr>
          <w:rFonts w:ascii="Verdana" w:hAnsi="Verdana"/>
          <w:b w:val="0"/>
        </w:rPr>
      </w:pPr>
    </w:p>
    <w:p w:rsidR="00F4778A" w:rsidRPr="005F6A44" w:rsidRDefault="00F4778A" w:rsidP="00594696">
      <w:pPr>
        <w:pStyle w:val="Header1"/>
        <w:rPr>
          <w:rFonts w:ascii="Verdana" w:hAnsi="Verdana"/>
          <w:b w:val="0"/>
        </w:rPr>
      </w:pPr>
    </w:p>
    <w:p w:rsidR="00396452" w:rsidRDefault="00396452" w:rsidP="00594696">
      <w:pPr>
        <w:pStyle w:val="Header1"/>
        <w:rPr>
          <w:rFonts w:ascii="Verdana" w:hAnsi="Verdana"/>
          <w:b w:val="0"/>
        </w:rPr>
      </w:pPr>
    </w:p>
    <w:p w:rsidR="005F6A44" w:rsidRDefault="005F6A44" w:rsidP="00594696">
      <w:pPr>
        <w:pStyle w:val="Header1"/>
        <w:rPr>
          <w:rFonts w:ascii="Verdana" w:hAnsi="Verdana"/>
          <w:b w:val="0"/>
        </w:rPr>
      </w:pPr>
    </w:p>
    <w:p w:rsidR="005F6A44" w:rsidRDefault="005F6A44" w:rsidP="00594696">
      <w:pPr>
        <w:pStyle w:val="Header1"/>
        <w:rPr>
          <w:rFonts w:ascii="Verdana" w:hAnsi="Verdana"/>
          <w:b w:val="0"/>
        </w:rPr>
      </w:pPr>
    </w:p>
    <w:p w:rsidR="005F6A44" w:rsidRDefault="005F6A44" w:rsidP="00594696">
      <w:pPr>
        <w:pStyle w:val="Header1"/>
        <w:rPr>
          <w:rFonts w:ascii="Verdana" w:hAnsi="Verdana"/>
          <w:b w:val="0"/>
        </w:rPr>
      </w:pPr>
    </w:p>
    <w:p w:rsidR="00B23A89" w:rsidRPr="005F6A44" w:rsidRDefault="00B23A89" w:rsidP="00594696">
      <w:pPr>
        <w:pStyle w:val="Header1"/>
        <w:rPr>
          <w:rFonts w:ascii="Verdana" w:hAnsi="Verdana"/>
          <w:b w:val="0"/>
        </w:rPr>
      </w:pPr>
    </w:p>
    <w:p w:rsidR="00396452" w:rsidRDefault="00396452" w:rsidP="00396452">
      <w:pPr>
        <w:pStyle w:val="Caption"/>
        <w:jc w:val="center"/>
      </w:pPr>
      <w:bookmarkStart w:id="4" w:name="_Ref482181992"/>
      <w:bookmarkStart w:id="5" w:name="_Ref48365694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792E">
        <w:rPr>
          <w:noProof/>
        </w:rPr>
        <w:t>1</w:t>
      </w:r>
      <w:r>
        <w:fldChar w:fldCharType="end"/>
      </w:r>
      <w:bookmarkEnd w:id="4"/>
      <w:r>
        <w:t xml:space="preserve"> </w:t>
      </w:r>
      <w:r w:rsidR="008355A3">
        <w:t xml:space="preserve"> </w:t>
      </w:r>
      <w:bookmarkStart w:id="6" w:name="_Ref483656952"/>
      <w:r w:rsidRPr="006803F6">
        <w:t>Distribution of Pre- and Post-DTs Participants’ Scores Differences</w:t>
      </w:r>
      <w:bookmarkEnd w:id="5"/>
      <w:bookmarkEnd w:id="6"/>
    </w:p>
    <w:p w:rsidR="00E16421" w:rsidRDefault="00FB1E31" w:rsidP="002D2214">
      <w:pPr>
        <w:pStyle w:val="Header1"/>
        <w:snapToGrid w:val="0"/>
        <w:spacing w:after="120" w:line="240" w:lineRule="auto"/>
        <w:rPr>
          <w:rFonts w:ascii="Verdana" w:hAnsi="Verdana"/>
          <w:b w:val="0"/>
          <w:sz w:val="20"/>
        </w:rPr>
      </w:pPr>
      <w:r w:rsidRPr="00FB1E31">
        <w:rPr>
          <w:rFonts w:ascii="Verdana" w:hAnsi="Verdana"/>
          <w:b w:val="0"/>
          <w:sz w:val="20"/>
        </w:rPr>
        <w:fldChar w:fldCharType="begin"/>
      </w:r>
      <w:r w:rsidRPr="00FB1E31">
        <w:rPr>
          <w:rFonts w:ascii="Verdana" w:hAnsi="Verdana"/>
          <w:b w:val="0"/>
          <w:sz w:val="20"/>
        </w:rPr>
        <w:instrText xml:space="preserve"> REF _Ref482800689 \h  \* MERGEFORMAT </w:instrText>
      </w:r>
      <w:r w:rsidRPr="00FB1E31">
        <w:rPr>
          <w:rFonts w:ascii="Verdana" w:hAnsi="Verdana"/>
          <w:b w:val="0"/>
          <w:sz w:val="20"/>
        </w:rPr>
      </w:r>
      <w:r w:rsidRPr="00FB1E31">
        <w:rPr>
          <w:rFonts w:ascii="Verdana" w:hAnsi="Verdana"/>
          <w:b w:val="0"/>
          <w:sz w:val="20"/>
        </w:rPr>
        <w:fldChar w:fldCharType="separate"/>
      </w:r>
      <w:r w:rsidR="00C3792E" w:rsidRPr="00C3792E">
        <w:rPr>
          <w:rFonts w:ascii="Verdana" w:hAnsi="Verdana"/>
          <w:b w:val="0"/>
          <w:sz w:val="20"/>
        </w:rPr>
        <w:t xml:space="preserve">Table </w:t>
      </w:r>
      <w:r w:rsidR="00C3792E" w:rsidRPr="00C3792E">
        <w:rPr>
          <w:rFonts w:ascii="Verdana" w:hAnsi="Verdana"/>
          <w:b w:val="0"/>
          <w:noProof/>
          <w:sz w:val="20"/>
        </w:rPr>
        <w:t>3</w:t>
      </w:r>
      <w:r w:rsidRPr="00FB1E31">
        <w:rPr>
          <w:rFonts w:ascii="Verdana" w:hAnsi="Verdana"/>
          <w:b w:val="0"/>
          <w:sz w:val="20"/>
        </w:rPr>
        <w:fldChar w:fldCharType="end"/>
      </w:r>
      <w:r w:rsidR="00D81010" w:rsidRPr="00FB1E31">
        <w:rPr>
          <w:rFonts w:ascii="Verdana" w:hAnsi="Verdana"/>
          <w:b w:val="0"/>
          <w:sz w:val="20"/>
        </w:rPr>
        <w:t xml:space="preserve"> shows</w:t>
      </w:r>
      <w:r w:rsidR="00396452" w:rsidRPr="00396452">
        <w:rPr>
          <w:rFonts w:ascii="Verdana" w:hAnsi="Verdana"/>
          <w:b w:val="0"/>
          <w:sz w:val="20"/>
        </w:rPr>
        <w:t xml:space="preserve"> that e-book users spen</w:t>
      </w:r>
      <w:r w:rsidR="00F4778A">
        <w:rPr>
          <w:rFonts w:ascii="Verdana" w:hAnsi="Verdana"/>
          <w:b w:val="0"/>
          <w:sz w:val="20"/>
        </w:rPr>
        <w:t xml:space="preserve">ding </w:t>
      </w:r>
      <w:r w:rsidR="00396452" w:rsidRPr="00396452">
        <w:rPr>
          <w:rFonts w:ascii="Verdana" w:hAnsi="Verdana"/>
          <w:b w:val="0"/>
          <w:sz w:val="20"/>
        </w:rPr>
        <w:t xml:space="preserve">about 1.5 hours on e-books on average per week </w:t>
      </w:r>
      <w:r w:rsidR="004352F6">
        <w:rPr>
          <w:rFonts w:ascii="Verdana" w:hAnsi="Verdana"/>
          <w:b w:val="0"/>
          <w:sz w:val="20"/>
        </w:rPr>
        <w:t xml:space="preserve">and </w:t>
      </w:r>
      <w:r w:rsidR="00396452" w:rsidRPr="00396452">
        <w:rPr>
          <w:rFonts w:ascii="Verdana" w:hAnsi="Verdana"/>
          <w:b w:val="0"/>
          <w:sz w:val="20"/>
        </w:rPr>
        <w:t xml:space="preserve">their average DT scores difference </w:t>
      </w:r>
      <w:r w:rsidR="00F4778A">
        <w:rPr>
          <w:rFonts w:ascii="Verdana" w:hAnsi="Verdana"/>
          <w:b w:val="0"/>
          <w:sz w:val="20"/>
        </w:rPr>
        <w:t xml:space="preserve">are </w:t>
      </w:r>
      <w:r w:rsidR="00B40909">
        <w:rPr>
          <w:rFonts w:ascii="Verdana" w:hAnsi="Verdana"/>
          <w:b w:val="0"/>
          <w:sz w:val="20"/>
        </w:rPr>
        <w:t>more than</w:t>
      </w:r>
      <w:r w:rsidR="003516B1">
        <w:rPr>
          <w:rFonts w:ascii="Verdana" w:hAnsi="Verdana"/>
          <w:b w:val="0"/>
          <w:sz w:val="20"/>
        </w:rPr>
        <w:t xml:space="preserve"> 1.5 times greater</w:t>
      </w:r>
      <w:r w:rsidR="00396452" w:rsidRPr="00396452">
        <w:rPr>
          <w:rFonts w:ascii="Verdana" w:hAnsi="Verdana"/>
          <w:b w:val="0"/>
          <w:sz w:val="20"/>
        </w:rPr>
        <w:t xml:space="preserve"> than </w:t>
      </w:r>
      <w:r w:rsidR="00F37739">
        <w:rPr>
          <w:rFonts w:ascii="Verdana" w:hAnsi="Verdana"/>
          <w:b w:val="0"/>
          <w:sz w:val="20"/>
        </w:rPr>
        <w:t>that of</w:t>
      </w:r>
      <w:r w:rsidR="00396452" w:rsidRPr="00396452">
        <w:rPr>
          <w:rFonts w:ascii="Verdana" w:hAnsi="Verdana"/>
          <w:b w:val="0"/>
          <w:sz w:val="20"/>
        </w:rPr>
        <w:t xml:space="preserve"> non-e-book users in both</w:t>
      </w:r>
      <w:r w:rsidR="00F37739">
        <w:rPr>
          <w:rFonts w:ascii="Verdana" w:hAnsi="Verdana"/>
          <w:b w:val="0"/>
          <w:sz w:val="20"/>
        </w:rPr>
        <w:t xml:space="preserve"> tests</w:t>
      </w:r>
      <w:r w:rsidR="00396452" w:rsidRPr="00396452">
        <w:rPr>
          <w:rFonts w:ascii="Verdana" w:hAnsi="Verdana"/>
          <w:b w:val="0"/>
          <w:sz w:val="20"/>
        </w:rPr>
        <w:t xml:space="preserve"> groups.</w:t>
      </w:r>
    </w:p>
    <w:p w:rsidR="00E16421" w:rsidRDefault="00E16421" w:rsidP="00E16421">
      <w:pPr>
        <w:pStyle w:val="Caption"/>
        <w:spacing w:before="240"/>
        <w:rPr>
          <w:b/>
        </w:rPr>
      </w:pPr>
      <w:bookmarkStart w:id="7" w:name="_Ref4828006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3</w:t>
      </w:r>
      <w:r>
        <w:fldChar w:fldCharType="end"/>
      </w:r>
      <w:bookmarkEnd w:id="7"/>
      <w:r>
        <w:t xml:space="preserve"> </w:t>
      </w:r>
      <w:bookmarkStart w:id="8" w:name="_Ref482182060"/>
      <w:r w:rsidRPr="00AE4EC2">
        <w:t>Student</w:t>
      </w:r>
      <w:r>
        <w:t>s'</w:t>
      </w:r>
      <w:r w:rsidRPr="00AE4EC2">
        <w:t xml:space="preserve"> Pre- and Post-DTs Performance by e-book users</w:t>
      </w:r>
      <w:r>
        <w:t xml:space="preserve"> and non-e-book users for AL and AC Tests</w:t>
      </w:r>
      <w:r w:rsidRPr="00AE4EC2">
        <w:t xml:space="preserve"> Groups</w:t>
      </w:r>
      <w:bookmarkEnd w:id="8"/>
      <w:r>
        <w:t xml:space="preserve">. </w:t>
      </w:r>
      <w:r w:rsidR="008355A3">
        <w:t xml:space="preserve"> </w:t>
      </w:r>
      <w:r>
        <w:t>*S.D. refers to standard deviation.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701"/>
        <w:gridCol w:w="992"/>
        <w:gridCol w:w="1134"/>
        <w:gridCol w:w="1276"/>
      </w:tblGrid>
      <w:tr w:rsidR="00E16421" w:rsidRPr="007B197F" w:rsidTr="00E16421">
        <w:trPr>
          <w:trHeight w:val="269"/>
        </w:trPr>
        <w:tc>
          <w:tcPr>
            <w:tcW w:w="709" w:type="dxa"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421" w:rsidRPr="00396452" w:rsidRDefault="00E16421" w:rsidP="003A148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e-book hours per week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F4778A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Pre-DT Score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16421" w:rsidRPr="00396452" w:rsidRDefault="00E16421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Post-DT Score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6421" w:rsidRPr="00396452" w:rsidRDefault="00E16421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DT Scores Difference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 w:val="restart"/>
            <w:vAlign w:val="center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</w:t>
            </w:r>
            <w:r w:rsidR="00F4778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Test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e-book users</w:t>
            </w:r>
          </w:p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(15 students)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Average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61.1%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67.3%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6.2%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  <w:vAlign w:val="center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S.D.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2.0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15.4%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20.1%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17.3%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  <w:vAlign w:val="center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non-e-book</w:t>
            </w:r>
            <w:r w:rsidR="008355A3">
              <w:rPr>
                <w:rFonts w:ascii="Verdana" w:hAnsi="Verdana"/>
                <w:sz w:val="20"/>
              </w:rPr>
              <w:t xml:space="preserve"> </w:t>
            </w:r>
            <w:r w:rsidRPr="00396452">
              <w:rPr>
                <w:rFonts w:ascii="Verdana" w:hAnsi="Verdana"/>
                <w:sz w:val="20"/>
              </w:rPr>
              <w:t>users</w:t>
            </w:r>
          </w:p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(10 students)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Average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59.7%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62.6%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2.9%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  <w:vAlign w:val="center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S.D.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22.4%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20.1%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15.7%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 w:val="restart"/>
            <w:vAlign w:val="center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</w:t>
            </w:r>
            <w:r w:rsidR="00F4778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Test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e-book users</w:t>
            </w:r>
          </w:p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(10</w:t>
            </w:r>
            <w:r w:rsidRPr="00396452">
              <w:rPr>
                <w:rFonts w:ascii="Verdana" w:hAnsi="Verdana"/>
                <w:sz w:val="20"/>
              </w:rPr>
              <w:t xml:space="preserve"> students)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Average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62.2%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69.4%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7.2</w:t>
            </w:r>
            <w:r w:rsidRPr="00396452">
              <w:rPr>
                <w:rFonts w:ascii="Verdana" w:hAnsi="Verdana"/>
                <w:sz w:val="20"/>
              </w:rPr>
              <w:t>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S.D.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17.9%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9.8</w:t>
            </w:r>
            <w:r w:rsidRPr="00396452">
              <w:rPr>
                <w:rFonts w:ascii="Verdana" w:hAnsi="Verdana"/>
                <w:sz w:val="20"/>
              </w:rPr>
              <w:t>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non-e-book users</w:t>
            </w:r>
          </w:p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12</w:t>
            </w:r>
            <w:r w:rsidRPr="00396452">
              <w:rPr>
                <w:rFonts w:ascii="Verdana" w:hAnsi="Verdana"/>
                <w:sz w:val="20"/>
              </w:rPr>
              <w:t xml:space="preserve"> students)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 w:rsidRPr="00396452">
              <w:rPr>
                <w:rFonts w:ascii="Verdana" w:hAnsi="Verdana"/>
                <w:sz w:val="20"/>
              </w:rPr>
              <w:t>Average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56.8%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61.2%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4.4</w:t>
            </w:r>
            <w:r w:rsidRPr="00396452">
              <w:rPr>
                <w:rFonts w:ascii="Verdana" w:hAnsi="Verdana"/>
                <w:sz w:val="20"/>
              </w:rPr>
              <w:t>%</w:t>
            </w:r>
          </w:p>
        </w:tc>
      </w:tr>
      <w:tr w:rsidR="00E16421" w:rsidRPr="007B197F" w:rsidTr="00E16421">
        <w:trPr>
          <w:trHeight w:val="300"/>
        </w:trPr>
        <w:tc>
          <w:tcPr>
            <w:tcW w:w="709" w:type="dxa"/>
            <w:vMerge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E16421" w:rsidRPr="00396452" w:rsidRDefault="00E16421" w:rsidP="000F0F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S.D.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6421" w:rsidRPr="00396452" w:rsidRDefault="00E16421" w:rsidP="000F0FF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19.2%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14.6%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421" w:rsidRPr="00396452" w:rsidRDefault="00E16421" w:rsidP="002D22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8.3</w:t>
            </w:r>
            <w:r w:rsidRPr="00396452">
              <w:rPr>
                <w:rFonts w:ascii="Verdana" w:hAnsi="Verdana"/>
                <w:sz w:val="20"/>
              </w:rPr>
              <w:t>%</w:t>
            </w:r>
          </w:p>
        </w:tc>
      </w:tr>
    </w:tbl>
    <w:p w:rsidR="00396452" w:rsidRDefault="008779A6" w:rsidP="004967A9">
      <w:pPr>
        <w:pStyle w:val="Header1"/>
        <w:snapToGrid w:val="0"/>
        <w:spacing w:after="120" w:line="24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T</w:t>
      </w:r>
      <w:r w:rsidRPr="00396452">
        <w:rPr>
          <w:rFonts w:ascii="Verdana" w:hAnsi="Verdana"/>
          <w:b w:val="0"/>
          <w:sz w:val="20"/>
        </w:rPr>
        <w:t xml:space="preserve">o test whether the </w:t>
      </w:r>
      <w:r>
        <w:rPr>
          <w:rFonts w:ascii="Verdana" w:hAnsi="Verdana"/>
          <w:b w:val="0"/>
          <w:sz w:val="20"/>
        </w:rPr>
        <w:t xml:space="preserve">average </w:t>
      </w:r>
      <w:r w:rsidRPr="00396452">
        <w:rPr>
          <w:rFonts w:ascii="Verdana" w:hAnsi="Verdana"/>
          <w:b w:val="0"/>
          <w:sz w:val="20"/>
        </w:rPr>
        <w:t xml:space="preserve">DT scores difference of e-book users </w:t>
      </w:r>
      <w:r w:rsidR="00F4778A">
        <w:rPr>
          <w:rFonts w:ascii="Verdana" w:hAnsi="Verdana"/>
          <w:b w:val="0"/>
          <w:sz w:val="20"/>
        </w:rPr>
        <w:t xml:space="preserve">is </w:t>
      </w:r>
      <w:r w:rsidRPr="00396452">
        <w:rPr>
          <w:rFonts w:ascii="Verdana" w:hAnsi="Verdana"/>
          <w:b w:val="0"/>
          <w:sz w:val="20"/>
        </w:rPr>
        <w:t>greater than th</w:t>
      </w:r>
      <w:r w:rsidR="00F4778A">
        <w:rPr>
          <w:rFonts w:ascii="Verdana" w:hAnsi="Verdana"/>
          <w:b w:val="0"/>
          <w:sz w:val="20"/>
        </w:rPr>
        <w:t xml:space="preserve">at </w:t>
      </w:r>
      <w:r w:rsidRPr="00396452">
        <w:rPr>
          <w:rFonts w:ascii="Verdana" w:hAnsi="Verdana"/>
          <w:b w:val="0"/>
          <w:sz w:val="20"/>
        </w:rPr>
        <w:t>of non-e-book users for both DTs</w:t>
      </w:r>
      <w:r w:rsidR="002C4933">
        <w:rPr>
          <w:rFonts w:ascii="Verdana" w:hAnsi="Verdana"/>
          <w:b w:val="0"/>
          <w:sz w:val="20"/>
        </w:rPr>
        <w:t>,</w:t>
      </w:r>
      <w:r w:rsidR="009675CE">
        <w:rPr>
          <w:rFonts w:ascii="Verdana" w:hAnsi="Verdana"/>
          <w:b w:val="0"/>
          <w:sz w:val="20"/>
        </w:rPr>
        <w:t xml:space="preserve"> either</w:t>
      </w:r>
      <w:r w:rsidR="002C4933">
        <w:rPr>
          <w:rFonts w:ascii="Verdana" w:hAnsi="Verdana"/>
          <w:b w:val="0"/>
          <w:sz w:val="20"/>
        </w:rPr>
        <w:t xml:space="preserve"> </w:t>
      </w:r>
      <w:r w:rsidR="002C4933" w:rsidRPr="00BE7C2B">
        <w:rPr>
          <w:rFonts w:ascii="Verdana" w:hAnsi="Verdana"/>
          <w:b w:val="0"/>
          <w:i/>
          <w:sz w:val="20"/>
        </w:rPr>
        <w:t>t</w:t>
      </w:r>
      <w:r w:rsidR="002C4933">
        <w:rPr>
          <w:rFonts w:ascii="Verdana" w:hAnsi="Verdana"/>
          <w:b w:val="0"/>
          <w:sz w:val="20"/>
        </w:rPr>
        <w:t xml:space="preserve">-test with equal variance or that with unequal variances in two samples was conducted. </w:t>
      </w:r>
      <w:r w:rsidR="00F4778A">
        <w:rPr>
          <w:rFonts w:ascii="Verdana" w:hAnsi="Verdana"/>
          <w:b w:val="0"/>
          <w:sz w:val="20"/>
        </w:rPr>
        <w:t xml:space="preserve"> </w:t>
      </w:r>
      <w:r w:rsidR="002C4933">
        <w:rPr>
          <w:rFonts w:ascii="Verdana" w:hAnsi="Verdana"/>
          <w:b w:val="0"/>
          <w:sz w:val="20"/>
        </w:rPr>
        <w:t>The equal va</w:t>
      </w:r>
      <w:r w:rsidR="00DF5942">
        <w:rPr>
          <w:rFonts w:ascii="Verdana" w:hAnsi="Verdana"/>
          <w:b w:val="0"/>
          <w:sz w:val="20"/>
        </w:rPr>
        <w:t xml:space="preserve">riance assumption </w:t>
      </w:r>
      <w:r w:rsidR="00F4778A">
        <w:rPr>
          <w:rFonts w:ascii="Verdana" w:hAnsi="Verdana"/>
          <w:b w:val="0"/>
          <w:sz w:val="20"/>
        </w:rPr>
        <w:t xml:space="preserve">is </w:t>
      </w:r>
      <w:r w:rsidR="00DF5942">
        <w:rPr>
          <w:rFonts w:ascii="Verdana" w:hAnsi="Verdana"/>
          <w:b w:val="0"/>
          <w:sz w:val="20"/>
        </w:rPr>
        <w:t>confirm</w:t>
      </w:r>
      <w:r w:rsidR="002C4933">
        <w:rPr>
          <w:rFonts w:ascii="Verdana" w:hAnsi="Verdana"/>
          <w:b w:val="0"/>
          <w:sz w:val="20"/>
        </w:rPr>
        <w:t>ed by</w:t>
      </w:r>
      <w:r w:rsidRPr="00396452">
        <w:rPr>
          <w:rFonts w:ascii="Verdana" w:hAnsi="Verdana"/>
          <w:b w:val="0"/>
          <w:sz w:val="20"/>
        </w:rPr>
        <w:t xml:space="preserve"> </w:t>
      </w:r>
      <w:proofErr w:type="spellStart"/>
      <w:r w:rsidR="00396452" w:rsidRPr="00396452">
        <w:rPr>
          <w:rFonts w:ascii="Verdana" w:hAnsi="Verdana"/>
          <w:b w:val="0"/>
          <w:sz w:val="20"/>
        </w:rPr>
        <w:t>Levene’s</w:t>
      </w:r>
      <w:proofErr w:type="spellEnd"/>
      <w:r w:rsidR="00396452" w:rsidRPr="00396452">
        <w:rPr>
          <w:rFonts w:ascii="Verdana" w:hAnsi="Verdana"/>
          <w:b w:val="0"/>
          <w:sz w:val="20"/>
        </w:rPr>
        <w:t xml:space="preserve"> Test</w:t>
      </w:r>
      <w:r w:rsidR="002C4933">
        <w:rPr>
          <w:rFonts w:ascii="Verdana" w:hAnsi="Verdana"/>
          <w:b w:val="0"/>
          <w:sz w:val="20"/>
        </w:rPr>
        <w:t>.</w:t>
      </w:r>
      <w:r w:rsidR="00396452" w:rsidRPr="00396452">
        <w:rPr>
          <w:rFonts w:ascii="Verdana" w:hAnsi="Verdana"/>
          <w:b w:val="0"/>
          <w:sz w:val="20"/>
        </w:rPr>
        <w:t xml:space="preserve"> </w:t>
      </w:r>
      <w:r w:rsidR="00F4778A">
        <w:rPr>
          <w:rFonts w:ascii="Verdana" w:hAnsi="Verdana"/>
          <w:b w:val="0"/>
          <w:sz w:val="20"/>
        </w:rPr>
        <w:t xml:space="preserve"> </w:t>
      </w:r>
      <w:r w:rsidR="002C4933">
        <w:rPr>
          <w:rFonts w:ascii="Verdana" w:hAnsi="Verdana"/>
          <w:b w:val="0"/>
          <w:sz w:val="20"/>
        </w:rPr>
        <w:t xml:space="preserve">When it is the case, pooled standard deviation </w:t>
      </w:r>
      <w:r w:rsidR="00F4778A">
        <w:rPr>
          <w:rFonts w:ascii="Verdana" w:hAnsi="Verdana"/>
          <w:b w:val="0"/>
          <w:sz w:val="20"/>
        </w:rPr>
        <w:t xml:space="preserve">is </w:t>
      </w:r>
      <w:r w:rsidR="00753A16">
        <w:rPr>
          <w:rFonts w:ascii="Verdana" w:hAnsi="Verdana"/>
          <w:b w:val="0"/>
          <w:sz w:val="20"/>
        </w:rPr>
        <w:t>computed as</w:t>
      </w:r>
      <w:r w:rsidR="002C4933">
        <w:rPr>
          <w:rFonts w:ascii="Verdana" w:hAnsi="Verdana"/>
          <w:b w:val="0"/>
          <w:sz w:val="20"/>
        </w:rPr>
        <w:t xml:space="preserve"> an input </w:t>
      </w:r>
      <w:r w:rsidR="00633A4E">
        <w:rPr>
          <w:rFonts w:ascii="Verdana" w:hAnsi="Verdana"/>
          <w:b w:val="0"/>
          <w:sz w:val="20"/>
        </w:rPr>
        <w:t xml:space="preserve">for </w:t>
      </w:r>
      <w:r w:rsidR="002C4933">
        <w:rPr>
          <w:rFonts w:ascii="Verdana" w:hAnsi="Verdana"/>
          <w:b w:val="0"/>
          <w:sz w:val="20"/>
        </w:rPr>
        <w:t xml:space="preserve">the </w:t>
      </w:r>
      <w:r w:rsidR="00753A16">
        <w:rPr>
          <w:rFonts w:ascii="Verdana" w:hAnsi="Verdana"/>
          <w:b w:val="0"/>
          <w:sz w:val="20"/>
        </w:rPr>
        <w:t xml:space="preserve">two samples </w:t>
      </w:r>
      <w:r w:rsidR="002C4933" w:rsidRPr="002C4933">
        <w:rPr>
          <w:rFonts w:ascii="Verdana" w:hAnsi="Verdana"/>
          <w:b w:val="0"/>
          <w:i/>
          <w:sz w:val="20"/>
        </w:rPr>
        <w:t>t</w:t>
      </w:r>
      <w:r w:rsidR="002C4933">
        <w:rPr>
          <w:rFonts w:ascii="Verdana" w:hAnsi="Verdana"/>
          <w:b w:val="0"/>
          <w:sz w:val="20"/>
        </w:rPr>
        <w:t xml:space="preserve">-test. </w:t>
      </w:r>
      <w:r w:rsidR="00F4778A">
        <w:rPr>
          <w:rFonts w:ascii="Verdana" w:hAnsi="Verdana"/>
          <w:b w:val="0"/>
          <w:sz w:val="20"/>
        </w:rPr>
        <w:t xml:space="preserve"> </w:t>
      </w:r>
      <w:r w:rsidR="00CF1C00" w:rsidRPr="00CF1C00">
        <w:rPr>
          <w:rFonts w:ascii="Verdana" w:hAnsi="Verdana"/>
          <w:b w:val="0"/>
          <w:sz w:val="20"/>
        </w:rPr>
        <w:fldChar w:fldCharType="begin"/>
      </w:r>
      <w:r w:rsidR="00CF1C00" w:rsidRPr="00CF1C00">
        <w:rPr>
          <w:rFonts w:ascii="Verdana" w:hAnsi="Verdana"/>
          <w:b w:val="0"/>
          <w:sz w:val="20"/>
        </w:rPr>
        <w:instrText xml:space="preserve"> REF _Ref482781058 \h  \* MERGEFORMAT </w:instrText>
      </w:r>
      <w:r w:rsidR="00CF1C00" w:rsidRPr="00CF1C00">
        <w:rPr>
          <w:rFonts w:ascii="Verdana" w:hAnsi="Verdana"/>
          <w:b w:val="0"/>
          <w:sz w:val="20"/>
        </w:rPr>
      </w:r>
      <w:r w:rsidR="00CF1C00" w:rsidRPr="00CF1C00">
        <w:rPr>
          <w:rFonts w:ascii="Verdana" w:hAnsi="Verdana"/>
          <w:b w:val="0"/>
          <w:sz w:val="20"/>
        </w:rPr>
        <w:fldChar w:fldCharType="separate"/>
      </w:r>
      <w:r w:rsidR="00C3792E" w:rsidRPr="00C3792E">
        <w:rPr>
          <w:rFonts w:ascii="Verdana" w:hAnsi="Verdana"/>
          <w:b w:val="0"/>
          <w:sz w:val="20"/>
        </w:rPr>
        <w:t xml:space="preserve">Table </w:t>
      </w:r>
      <w:r w:rsidR="00C3792E" w:rsidRPr="00C3792E">
        <w:rPr>
          <w:rFonts w:ascii="Verdana" w:hAnsi="Verdana"/>
          <w:b w:val="0"/>
          <w:noProof/>
          <w:sz w:val="20"/>
        </w:rPr>
        <w:t>4</w:t>
      </w:r>
      <w:r w:rsidR="00CF1C00" w:rsidRPr="00CF1C00">
        <w:rPr>
          <w:rFonts w:ascii="Verdana" w:hAnsi="Verdana"/>
          <w:b w:val="0"/>
          <w:sz w:val="20"/>
        </w:rPr>
        <w:fldChar w:fldCharType="end"/>
      </w:r>
      <w:r w:rsidR="009675CE">
        <w:rPr>
          <w:rFonts w:ascii="Verdana" w:hAnsi="Verdana"/>
          <w:b w:val="0"/>
          <w:sz w:val="20"/>
        </w:rPr>
        <w:t xml:space="preserve"> show</w:t>
      </w:r>
      <w:r w:rsidR="00B803A1">
        <w:rPr>
          <w:rFonts w:ascii="Verdana" w:hAnsi="Verdana"/>
          <w:b w:val="0"/>
          <w:sz w:val="20"/>
        </w:rPr>
        <w:t>s</w:t>
      </w:r>
      <w:r w:rsidR="009675CE">
        <w:rPr>
          <w:rFonts w:ascii="Verdana" w:hAnsi="Verdana"/>
          <w:b w:val="0"/>
          <w:sz w:val="20"/>
        </w:rPr>
        <w:t xml:space="preserve"> that </w:t>
      </w:r>
      <w:r w:rsidR="00E62513">
        <w:rPr>
          <w:rFonts w:ascii="Verdana" w:hAnsi="Verdana"/>
          <w:b w:val="0"/>
          <w:sz w:val="20"/>
        </w:rPr>
        <w:t xml:space="preserve">results of </w:t>
      </w:r>
      <w:proofErr w:type="spellStart"/>
      <w:r w:rsidR="00E62513">
        <w:rPr>
          <w:rFonts w:ascii="Verdana" w:hAnsi="Verdana"/>
          <w:b w:val="0"/>
          <w:sz w:val="20"/>
        </w:rPr>
        <w:t>Levene’s</w:t>
      </w:r>
      <w:proofErr w:type="spellEnd"/>
      <w:r w:rsidR="00E62513">
        <w:rPr>
          <w:rFonts w:ascii="Verdana" w:hAnsi="Verdana"/>
          <w:b w:val="0"/>
          <w:sz w:val="20"/>
        </w:rPr>
        <w:t xml:space="preserve"> </w:t>
      </w:r>
      <w:r w:rsidR="00917634">
        <w:rPr>
          <w:rFonts w:ascii="Verdana" w:hAnsi="Verdana"/>
          <w:b w:val="0"/>
          <w:sz w:val="20"/>
        </w:rPr>
        <w:t>t</w:t>
      </w:r>
      <w:r w:rsidR="00E62513">
        <w:rPr>
          <w:rFonts w:ascii="Verdana" w:hAnsi="Verdana"/>
          <w:b w:val="0"/>
          <w:sz w:val="20"/>
        </w:rPr>
        <w:t>est</w:t>
      </w:r>
      <w:r w:rsidR="001335B5">
        <w:rPr>
          <w:rFonts w:ascii="Verdana" w:hAnsi="Verdana"/>
          <w:b w:val="0"/>
          <w:sz w:val="20"/>
        </w:rPr>
        <w:t>s</w:t>
      </w:r>
      <w:r w:rsidR="00E62513">
        <w:rPr>
          <w:rFonts w:ascii="Verdana" w:hAnsi="Verdana"/>
          <w:b w:val="0"/>
          <w:sz w:val="20"/>
        </w:rPr>
        <w:t xml:space="preserve"> and the </w:t>
      </w:r>
      <w:r w:rsidR="009675CE">
        <w:rPr>
          <w:rFonts w:ascii="Verdana" w:hAnsi="Verdana"/>
          <w:b w:val="0"/>
          <w:sz w:val="20"/>
        </w:rPr>
        <w:t>two samples</w:t>
      </w:r>
      <w:r w:rsidR="00E62513">
        <w:rPr>
          <w:rFonts w:ascii="Verdana" w:hAnsi="Verdana"/>
          <w:b w:val="0"/>
          <w:sz w:val="20"/>
        </w:rPr>
        <w:t xml:space="preserve"> </w:t>
      </w:r>
      <w:r w:rsidR="00E62513" w:rsidRPr="00E62513">
        <w:rPr>
          <w:rFonts w:ascii="Verdana" w:hAnsi="Verdana"/>
          <w:b w:val="0"/>
          <w:i/>
          <w:sz w:val="20"/>
        </w:rPr>
        <w:t>t</w:t>
      </w:r>
      <w:r w:rsidR="00E62513">
        <w:rPr>
          <w:rFonts w:ascii="Verdana" w:hAnsi="Verdana"/>
          <w:b w:val="0"/>
          <w:sz w:val="20"/>
        </w:rPr>
        <w:t>-test</w:t>
      </w:r>
      <w:r w:rsidR="001335B5">
        <w:rPr>
          <w:rFonts w:ascii="Verdana" w:hAnsi="Verdana"/>
          <w:b w:val="0"/>
          <w:sz w:val="20"/>
        </w:rPr>
        <w:t>s</w:t>
      </w:r>
      <w:r w:rsidR="00E62513">
        <w:rPr>
          <w:rFonts w:ascii="Verdana" w:hAnsi="Verdana"/>
          <w:b w:val="0"/>
          <w:sz w:val="20"/>
        </w:rPr>
        <w:t xml:space="preserve"> for</w:t>
      </w:r>
      <w:r w:rsidR="009675CE">
        <w:rPr>
          <w:rFonts w:ascii="Verdana" w:hAnsi="Verdana"/>
          <w:b w:val="0"/>
          <w:sz w:val="20"/>
        </w:rPr>
        <w:t xml:space="preserve"> both AL and AC tests</w:t>
      </w:r>
      <w:r w:rsidR="00E62513">
        <w:rPr>
          <w:rFonts w:ascii="Verdana" w:hAnsi="Verdana"/>
          <w:b w:val="0"/>
          <w:sz w:val="20"/>
        </w:rPr>
        <w:t xml:space="preserve"> groups. </w:t>
      </w:r>
      <w:r w:rsidR="00F4778A">
        <w:rPr>
          <w:rFonts w:ascii="Verdana" w:hAnsi="Verdana"/>
          <w:b w:val="0"/>
          <w:sz w:val="20"/>
        </w:rPr>
        <w:t xml:space="preserve"> </w:t>
      </w:r>
      <w:r w:rsidR="00C27F04">
        <w:rPr>
          <w:rFonts w:ascii="Verdana" w:hAnsi="Verdana"/>
          <w:b w:val="0"/>
          <w:sz w:val="20"/>
        </w:rPr>
        <w:t>B</w:t>
      </w:r>
      <w:r w:rsidR="00E62513">
        <w:rPr>
          <w:rFonts w:ascii="Verdana" w:hAnsi="Verdana"/>
          <w:b w:val="0"/>
          <w:sz w:val="20"/>
        </w:rPr>
        <w:t>oth e-book users and non-e-book users group</w:t>
      </w:r>
      <w:r w:rsidR="00F26B80">
        <w:rPr>
          <w:rFonts w:ascii="Verdana" w:hAnsi="Verdana"/>
          <w:b w:val="0"/>
          <w:sz w:val="20"/>
        </w:rPr>
        <w:t>s</w:t>
      </w:r>
      <w:r w:rsidR="009675CE">
        <w:rPr>
          <w:rFonts w:ascii="Verdana" w:hAnsi="Verdana"/>
          <w:b w:val="0"/>
          <w:sz w:val="20"/>
        </w:rPr>
        <w:t xml:space="preserve"> </w:t>
      </w:r>
      <w:r w:rsidR="00E62513">
        <w:rPr>
          <w:rFonts w:ascii="Verdana" w:hAnsi="Verdana"/>
          <w:b w:val="0"/>
          <w:sz w:val="20"/>
        </w:rPr>
        <w:t>ha</w:t>
      </w:r>
      <w:r w:rsidR="00F4778A">
        <w:rPr>
          <w:rFonts w:ascii="Verdana" w:hAnsi="Verdana"/>
          <w:b w:val="0"/>
          <w:sz w:val="20"/>
        </w:rPr>
        <w:t>ve</w:t>
      </w:r>
      <w:r w:rsidR="00E62513">
        <w:rPr>
          <w:rFonts w:ascii="Verdana" w:hAnsi="Verdana"/>
          <w:b w:val="0"/>
          <w:sz w:val="20"/>
        </w:rPr>
        <w:t xml:space="preserve"> </w:t>
      </w:r>
      <w:r w:rsidR="00F4778A">
        <w:rPr>
          <w:rFonts w:ascii="Verdana" w:hAnsi="Verdana"/>
          <w:b w:val="0"/>
          <w:sz w:val="20"/>
        </w:rPr>
        <w:t xml:space="preserve">the </w:t>
      </w:r>
      <w:r w:rsidR="00E62513">
        <w:rPr>
          <w:rFonts w:ascii="Verdana" w:hAnsi="Verdana"/>
          <w:b w:val="0"/>
          <w:sz w:val="20"/>
        </w:rPr>
        <w:t>same variance</w:t>
      </w:r>
      <w:r w:rsidR="00F26B80">
        <w:rPr>
          <w:rFonts w:ascii="Verdana" w:hAnsi="Verdana"/>
          <w:b w:val="0"/>
          <w:sz w:val="20"/>
        </w:rPr>
        <w:t>s</w:t>
      </w:r>
      <w:r w:rsidR="00E62513">
        <w:rPr>
          <w:rFonts w:ascii="Verdana" w:hAnsi="Verdana"/>
          <w:b w:val="0"/>
          <w:sz w:val="20"/>
        </w:rPr>
        <w:t xml:space="preserve"> </w:t>
      </w:r>
      <w:r w:rsidR="00D977F2">
        <w:rPr>
          <w:rFonts w:ascii="Verdana" w:hAnsi="Verdana"/>
          <w:b w:val="0"/>
          <w:sz w:val="20"/>
        </w:rPr>
        <w:t>in the pre- and post-DTs score difference</w:t>
      </w:r>
      <w:r w:rsidR="008520F8">
        <w:rPr>
          <w:rFonts w:ascii="Verdana" w:hAnsi="Verdana"/>
          <w:b w:val="0"/>
          <w:sz w:val="20"/>
        </w:rPr>
        <w:t>s</w:t>
      </w:r>
      <w:r w:rsidR="00D977F2">
        <w:rPr>
          <w:rFonts w:ascii="Verdana" w:hAnsi="Verdana"/>
          <w:b w:val="0"/>
          <w:sz w:val="20"/>
        </w:rPr>
        <w:t xml:space="preserve"> </w:t>
      </w:r>
      <w:r w:rsidR="005E4F0B">
        <w:rPr>
          <w:rFonts w:ascii="Verdana" w:hAnsi="Verdana"/>
          <w:b w:val="0"/>
          <w:sz w:val="20"/>
        </w:rPr>
        <w:t>and</w:t>
      </w:r>
      <w:r w:rsidR="00396452" w:rsidRPr="00396452">
        <w:rPr>
          <w:rFonts w:ascii="Verdana" w:hAnsi="Verdana"/>
          <w:b w:val="0"/>
          <w:sz w:val="20"/>
        </w:rPr>
        <w:t xml:space="preserve"> no difference in the improvement between two </w:t>
      </w:r>
      <w:r w:rsidR="00A315CB">
        <w:rPr>
          <w:rFonts w:ascii="Verdana" w:hAnsi="Verdana"/>
          <w:b w:val="0"/>
          <w:sz w:val="20"/>
        </w:rPr>
        <w:t>groups</w:t>
      </w:r>
      <w:r w:rsidR="0066470E">
        <w:rPr>
          <w:rFonts w:ascii="Verdana" w:hAnsi="Verdana"/>
          <w:b w:val="0"/>
          <w:sz w:val="20"/>
        </w:rPr>
        <w:t xml:space="preserve"> </w:t>
      </w:r>
      <w:r w:rsidR="00A93511">
        <w:rPr>
          <w:rFonts w:ascii="Verdana" w:hAnsi="Verdana"/>
          <w:b w:val="0"/>
          <w:sz w:val="20"/>
        </w:rPr>
        <w:t>i</w:t>
      </w:r>
      <w:r w:rsidR="0066470E">
        <w:rPr>
          <w:rFonts w:ascii="Verdana" w:hAnsi="Verdana"/>
          <w:b w:val="0"/>
          <w:sz w:val="20"/>
        </w:rPr>
        <w:t>s concluded</w:t>
      </w:r>
      <w:r w:rsidR="00A315CB">
        <w:rPr>
          <w:rFonts w:ascii="Verdana" w:hAnsi="Verdana"/>
          <w:b w:val="0"/>
          <w:sz w:val="20"/>
        </w:rPr>
        <w:t xml:space="preserve"> at 5% significance level</w:t>
      </w:r>
      <w:r w:rsidR="00F26B80">
        <w:rPr>
          <w:rFonts w:ascii="Verdana" w:hAnsi="Verdana"/>
          <w:b w:val="0"/>
          <w:sz w:val="20"/>
        </w:rPr>
        <w:t xml:space="preserve"> for AL and AC tests</w:t>
      </w:r>
      <w:r w:rsidR="00F73CA9">
        <w:rPr>
          <w:rFonts w:ascii="Verdana" w:hAnsi="Verdana"/>
          <w:b w:val="0"/>
          <w:sz w:val="20"/>
        </w:rPr>
        <w:t xml:space="preserve"> groups</w:t>
      </w:r>
      <w:r w:rsidR="00A315CB">
        <w:rPr>
          <w:rFonts w:ascii="Verdana" w:hAnsi="Verdana"/>
          <w:b w:val="0"/>
          <w:sz w:val="20"/>
        </w:rPr>
        <w:t>.</w:t>
      </w:r>
    </w:p>
    <w:p w:rsidR="008779A6" w:rsidRDefault="008779A6" w:rsidP="00387FDD">
      <w:pPr>
        <w:pStyle w:val="Caption"/>
        <w:spacing w:before="240"/>
        <w:rPr>
          <w:b/>
        </w:rPr>
      </w:pPr>
      <w:bookmarkStart w:id="9" w:name="_Ref4827810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4</w:t>
      </w:r>
      <w:r>
        <w:fldChar w:fldCharType="end"/>
      </w:r>
      <w:bookmarkEnd w:id="9"/>
      <w:r>
        <w:t xml:space="preserve"> Testing whether the</w:t>
      </w:r>
      <w:r w:rsidR="00C3792E">
        <w:t xml:space="preserve"> DT scores difference of e-book</w:t>
      </w:r>
      <w:r>
        <w:t xml:space="preserve"> users is </w:t>
      </w:r>
      <w:r w:rsidR="00C3792E">
        <w:t>greater than that of non-e-book</w:t>
      </w:r>
      <w:r>
        <w:t xml:space="preserve"> users. *S.D. refers to standard deviation.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60"/>
        <w:gridCol w:w="1020"/>
        <w:gridCol w:w="1417"/>
        <w:gridCol w:w="1276"/>
        <w:gridCol w:w="992"/>
        <w:gridCol w:w="1134"/>
        <w:gridCol w:w="1276"/>
        <w:gridCol w:w="992"/>
      </w:tblGrid>
      <w:tr w:rsidR="0007398B" w:rsidRPr="00AA4ED6" w:rsidTr="004967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98B" w:rsidRPr="00AA4ED6" w:rsidRDefault="0007398B" w:rsidP="00AA4ED6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98B" w:rsidRPr="00AA4ED6" w:rsidRDefault="0007398B" w:rsidP="00AA4ED6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Sample size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8B" w:rsidRPr="00AA4ED6" w:rsidRDefault="0007398B" w:rsidP="00F4778A">
            <w:pPr>
              <w:jc w:val="center"/>
              <w:rPr>
                <w:rFonts w:ascii="Verdana" w:hAnsi="Verdana"/>
                <w:i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lang w:eastAsia="zh-CN"/>
              </w:rPr>
              <w:t>Levene’s</w:t>
            </w:r>
            <w:proofErr w:type="spellEnd"/>
            <w:r>
              <w:rPr>
                <w:rFonts w:ascii="Verdana" w:hAnsi="Verdana"/>
                <w:color w:val="000000"/>
                <w:sz w:val="20"/>
                <w:lang w:eastAsia="zh-CN"/>
              </w:rPr>
              <w:t xml:space="preserve"> test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8B" w:rsidRPr="00AA4ED6" w:rsidRDefault="0007398B" w:rsidP="003A1484">
            <w:pPr>
              <w:jc w:val="center"/>
              <w:rPr>
                <w:rFonts w:ascii="Verdana" w:hAnsi="Verdana"/>
                <w:i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 xml:space="preserve">Two samples </w:t>
            </w:r>
            <w:r w:rsidRPr="0007398B">
              <w:rPr>
                <w:rFonts w:ascii="Verdana" w:hAnsi="Verdana"/>
                <w:i/>
                <w:color w:val="000000"/>
                <w:sz w:val="20"/>
                <w:lang w:eastAsia="zh-CN"/>
              </w:rPr>
              <w:t>t</w:t>
            </w:r>
            <w:r>
              <w:rPr>
                <w:rFonts w:ascii="Verdana" w:hAnsi="Verdana"/>
                <w:color w:val="000000"/>
                <w:sz w:val="20"/>
                <w:lang w:eastAsia="zh-CN"/>
              </w:rPr>
              <w:t>-test</w:t>
            </w:r>
          </w:p>
        </w:tc>
      </w:tr>
      <w:tr w:rsidR="0007398B" w:rsidRPr="00AA4ED6" w:rsidTr="004967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98B" w:rsidRPr="00AA4ED6" w:rsidRDefault="0007398B" w:rsidP="0007398B">
            <w:pPr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e-book users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Non-e-book users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T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est statistic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i/>
                <w:color w:val="000000"/>
                <w:sz w:val="20"/>
                <w:lang w:eastAsia="zh-CN"/>
              </w:rPr>
              <w:t>p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Pooled S.D.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T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est statistic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398B" w:rsidRPr="00AA4ED6" w:rsidRDefault="0007398B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i/>
                <w:color w:val="000000"/>
                <w:sz w:val="20"/>
                <w:lang w:eastAsia="zh-CN"/>
              </w:rPr>
              <w:t>p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-value</w:t>
            </w:r>
          </w:p>
        </w:tc>
      </w:tr>
      <w:tr w:rsidR="0007398B" w:rsidRPr="00AA4ED6" w:rsidTr="00360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AL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16</w:t>
            </w:r>
            <w:r w:rsidR="00B17211">
              <w:rPr>
                <w:rFonts w:ascii="Verdana" w:hAnsi="Verdana"/>
                <w:color w:val="000000"/>
                <w:sz w:val="20"/>
                <w:lang w:eastAsia="zh-CN"/>
              </w:rPr>
              <w:t>.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99</w:t>
            </w:r>
            <w:r w:rsidR="00B17211">
              <w:rPr>
                <w:rFonts w:ascii="Verdana" w:hAnsi="Verdana"/>
                <w:color w:val="000000"/>
                <w:sz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0.315</w:t>
            </w:r>
          </w:p>
        </w:tc>
      </w:tr>
      <w:tr w:rsidR="0007398B" w:rsidRPr="00AA4ED6" w:rsidTr="00360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AC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C63274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C63274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8</w:t>
            </w:r>
            <w:r w:rsidR="00B17211">
              <w:rPr>
                <w:rFonts w:ascii="Verdana" w:hAnsi="Verdana"/>
                <w:color w:val="000000"/>
                <w:sz w:val="20"/>
                <w:lang w:eastAsia="zh-CN"/>
              </w:rPr>
              <w:t>.</w:t>
            </w: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98</w:t>
            </w:r>
            <w:r w:rsidR="00B17211">
              <w:rPr>
                <w:rFonts w:ascii="Verdana" w:hAnsi="Verdana"/>
                <w:color w:val="000000"/>
                <w:sz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98B" w:rsidRPr="00AA4ED6" w:rsidRDefault="0007398B" w:rsidP="004967A9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AA4ED6">
              <w:rPr>
                <w:rFonts w:ascii="Verdana" w:hAnsi="Verdana"/>
                <w:color w:val="000000"/>
                <w:sz w:val="20"/>
                <w:lang w:eastAsia="zh-CN"/>
              </w:rPr>
              <w:t>0.240</w:t>
            </w:r>
          </w:p>
        </w:tc>
      </w:tr>
    </w:tbl>
    <w:p w:rsidR="008E03D3" w:rsidRDefault="008E03D3" w:rsidP="00594696">
      <w:pPr>
        <w:pStyle w:val="Header1"/>
        <w:rPr>
          <w:rFonts w:ascii="Verdana" w:hAnsi="Verdana"/>
          <w:b w:val="0"/>
          <w:sz w:val="20"/>
        </w:rPr>
      </w:pPr>
    </w:p>
    <w:p w:rsidR="006D0E34" w:rsidRPr="004066C1" w:rsidRDefault="006D0E34" w:rsidP="006D0E34">
      <w:pPr>
        <w:pStyle w:val="Header2"/>
        <w:rPr>
          <w:rFonts w:ascii="Verdana" w:hAnsi="Verdana"/>
        </w:rPr>
      </w:pPr>
      <w:r>
        <w:rPr>
          <w:rFonts w:ascii="Verdana" w:hAnsi="Verdana"/>
        </w:rPr>
        <w:t>3.3</w:t>
      </w:r>
      <w:r w:rsidRPr="004066C1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="0086018B">
        <w:rPr>
          <w:rFonts w:ascii="Verdana" w:hAnsi="Verdana"/>
        </w:rPr>
        <w:t>.</w:t>
      </w:r>
      <w:r w:rsidRPr="00406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Underpinning Skills </w:t>
      </w:r>
      <w:r w:rsidR="001C6CBB">
        <w:rPr>
          <w:rFonts w:ascii="Verdana" w:hAnsi="Verdana"/>
        </w:rPr>
        <w:t>of</w:t>
      </w:r>
      <w:r>
        <w:rPr>
          <w:rFonts w:ascii="Verdana" w:hAnsi="Verdana"/>
        </w:rPr>
        <w:t xml:space="preserve"> </w:t>
      </w:r>
      <w:r w:rsidR="0011466D">
        <w:rPr>
          <w:rFonts w:ascii="Verdana" w:hAnsi="Verdana"/>
        </w:rPr>
        <w:t>Algebra &amp; Calculus</w:t>
      </w:r>
      <w:r>
        <w:rPr>
          <w:rFonts w:ascii="Verdana" w:hAnsi="Verdana"/>
        </w:rPr>
        <w:t xml:space="preserve"> Test</w:t>
      </w:r>
    </w:p>
    <w:p w:rsidR="00F4778A" w:rsidRDefault="00BA17D8" w:rsidP="004967A9">
      <w:pPr>
        <w:pStyle w:val="Header1"/>
        <w:snapToGrid w:val="0"/>
        <w:spacing w:after="120" w:line="24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Average</w:t>
      </w:r>
      <w:r w:rsidR="005B663A">
        <w:rPr>
          <w:rFonts w:ascii="Verdana" w:hAnsi="Verdana"/>
          <w:b w:val="0"/>
          <w:sz w:val="20"/>
        </w:rPr>
        <w:t xml:space="preserve"> pre- and post-DT score</w:t>
      </w:r>
      <w:r w:rsidR="00C35E6A">
        <w:rPr>
          <w:rFonts w:ascii="Verdana" w:hAnsi="Verdana"/>
          <w:b w:val="0"/>
          <w:sz w:val="20"/>
        </w:rPr>
        <w:t>s</w:t>
      </w:r>
      <w:r w:rsidR="005B663A">
        <w:rPr>
          <w:rFonts w:ascii="Verdana" w:hAnsi="Verdana"/>
          <w:b w:val="0"/>
          <w:sz w:val="20"/>
        </w:rPr>
        <w:t xml:space="preserve"> of the underpinning skills are plotted as a radar diagram in </w:t>
      </w:r>
      <w:r w:rsidR="00C87179">
        <w:rPr>
          <w:rFonts w:ascii="Verdana" w:hAnsi="Verdana"/>
          <w:b w:val="0"/>
          <w:sz w:val="20"/>
        </w:rPr>
        <w:t>Fig.</w:t>
      </w:r>
      <w:r w:rsidR="00394D90" w:rsidRPr="00074082">
        <w:rPr>
          <w:rFonts w:ascii="Verdana" w:hAnsi="Verdana"/>
          <w:b w:val="0"/>
          <w:sz w:val="20"/>
        </w:rPr>
        <w:fldChar w:fldCharType="begin"/>
      </w:r>
      <w:r w:rsidR="00394D90" w:rsidRPr="00394D90">
        <w:rPr>
          <w:rFonts w:ascii="Verdana" w:hAnsi="Verdana"/>
          <w:b w:val="0"/>
          <w:sz w:val="20"/>
        </w:rPr>
        <w:instrText xml:space="preserve"> REF _Ref482262412  \</w:instrText>
      </w:r>
      <w:r w:rsidR="00C87179">
        <w:rPr>
          <w:rFonts w:ascii="Verdana" w:hAnsi="Verdana"/>
          <w:b w:val="0"/>
          <w:sz w:val="20"/>
        </w:rPr>
        <w:instrText>#"0"</w:instrText>
      </w:r>
      <w:r w:rsidR="00394D90" w:rsidRPr="00394D90">
        <w:rPr>
          <w:rFonts w:ascii="Verdana" w:hAnsi="Verdana"/>
          <w:b w:val="0"/>
          <w:sz w:val="20"/>
        </w:rPr>
        <w:instrText xml:space="preserve"> </w:instrText>
      </w:r>
      <w:r w:rsidR="00394D90" w:rsidRPr="00074082">
        <w:rPr>
          <w:rFonts w:ascii="Verdana" w:hAnsi="Verdana"/>
          <w:b w:val="0"/>
          <w:sz w:val="20"/>
        </w:rPr>
        <w:fldChar w:fldCharType="separate"/>
      </w:r>
      <w:r w:rsidR="00C3792E">
        <w:rPr>
          <w:rFonts w:ascii="Verdana" w:hAnsi="Verdana"/>
          <w:b w:val="0"/>
          <w:sz w:val="20"/>
        </w:rPr>
        <w:t>2</w:t>
      </w:r>
      <w:r w:rsidR="00394D90" w:rsidRPr="00074082">
        <w:rPr>
          <w:rFonts w:ascii="Verdana" w:hAnsi="Verdana"/>
          <w:b w:val="0"/>
          <w:sz w:val="20"/>
        </w:rPr>
        <w:fldChar w:fldCharType="end"/>
      </w:r>
      <w:r w:rsidR="005B663A">
        <w:rPr>
          <w:rFonts w:ascii="Verdana" w:hAnsi="Verdana"/>
          <w:b w:val="0"/>
          <w:sz w:val="20"/>
        </w:rPr>
        <w:t>.</w:t>
      </w:r>
      <w:r w:rsidR="006F4BD3">
        <w:rPr>
          <w:rFonts w:ascii="Verdana" w:hAnsi="Verdana"/>
          <w:b w:val="0"/>
          <w:sz w:val="20"/>
        </w:rPr>
        <w:t xml:space="preserve"> </w:t>
      </w:r>
      <w:r w:rsidR="00F4778A">
        <w:rPr>
          <w:rFonts w:ascii="Verdana" w:hAnsi="Verdana"/>
          <w:b w:val="0"/>
          <w:sz w:val="20"/>
        </w:rPr>
        <w:t xml:space="preserve"> </w:t>
      </w:r>
      <w:r w:rsidR="00DF635C">
        <w:rPr>
          <w:rFonts w:ascii="Verdana" w:hAnsi="Verdana"/>
          <w:b w:val="0"/>
          <w:sz w:val="20"/>
        </w:rPr>
        <w:t>Ten</w:t>
      </w:r>
      <w:r w:rsidR="00036D81">
        <w:rPr>
          <w:rFonts w:ascii="Verdana" w:hAnsi="Verdana"/>
          <w:b w:val="0"/>
          <w:sz w:val="20"/>
        </w:rPr>
        <w:t xml:space="preserve"> </w:t>
      </w:r>
      <w:r w:rsidR="009160D0">
        <w:rPr>
          <w:rFonts w:ascii="Verdana" w:hAnsi="Verdana"/>
          <w:b w:val="0"/>
          <w:sz w:val="20"/>
        </w:rPr>
        <w:t xml:space="preserve">e-book users and </w:t>
      </w:r>
      <w:r w:rsidR="00DF635C">
        <w:rPr>
          <w:rFonts w:ascii="Verdana" w:hAnsi="Verdana"/>
          <w:b w:val="0"/>
          <w:sz w:val="20"/>
        </w:rPr>
        <w:t>twelve</w:t>
      </w:r>
      <w:r w:rsidR="009160D0">
        <w:rPr>
          <w:rFonts w:ascii="Verdana" w:hAnsi="Verdana"/>
          <w:b w:val="0"/>
          <w:sz w:val="20"/>
        </w:rPr>
        <w:t xml:space="preserve"> non-</w:t>
      </w:r>
      <w:r w:rsidR="00A35A8B">
        <w:rPr>
          <w:rFonts w:ascii="Verdana" w:hAnsi="Verdana"/>
          <w:b w:val="0"/>
          <w:sz w:val="20"/>
        </w:rPr>
        <w:t>e-</w:t>
      </w:r>
      <w:r w:rsidR="009160D0">
        <w:rPr>
          <w:rFonts w:ascii="Verdana" w:hAnsi="Verdana"/>
          <w:b w:val="0"/>
          <w:sz w:val="20"/>
        </w:rPr>
        <w:t>book users</w:t>
      </w:r>
      <w:r w:rsidR="00557AA2">
        <w:rPr>
          <w:rFonts w:ascii="Verdana" w:hAnsi="Verdana"/>
          <w:b w:val="0"/>
          <w:sz w:val="20"/>
        </w:rPr>
        <w:t xml:space="preserve"> exhibit</w:t>
      </w:r>
      <w:r w:rsidR="006F4BD3">
        <w:rPr>
          <w:rFonts w:ascii="Verdana" w:hAnsi="Verdana"/>
          <w:b w:val="0"/>
          <w:sz w:val="20"/>
        </w:rPr>
        <w:t xml:space="preserve"> higher post-DT scores in all skills</w:t>
      </w:r>
      <w:r w:rsidR="00F73A06">
        <w:rPr>
          <w:rFonts w:ascii="Verdana" w:hAnsi="Verdana"/>
          <w:b w:val="0"/>
          <w:sz w:val="20"/>
        </w:rPr>
        <w:t>, compared with the pre-DT scores.</w:t>
      </w:r>
      <w:r w:rsidR="006F4BD3">
        <w:rPr>
          <w:rFonts w:ascii="Verdana" w:hAnsi="Verdana"/>
          <w:b w:val="0"/>
          <w:sz w:val="20"/>
        </w:rPr>
        <w:t xml:space="preserve"> </w:t>
      </w:r>
      <w:r w:rsidR="00F4778A">
        <w:rPr>
          <w:rFonts w:ascii="Verdana" w:hAnsi="Verdana"/>
          <w:b w:val="0"/>
          <w:sz w:val="20"/>
        </w:rPr>
        <w:t xml:space="preserve"> </w:t>
      </w:r>
      <w:r w:rsidR="006F4BD3">
        <w:rPr>
          <w:rFonts w:ascii="Verdana" w:hAnsi="Verdana"/>
          <w:b w:val="0"/>
          <w:sz w:val="20"/>
        </w:rPr>
        <w:t>The extent of improvement in all skills seems t</w:t>
      </w:r>
      <w:r w:rsidR="00F73A06">
        <w:rPr>
          <w:rFonts w:ascii="Verdana" w:hAnsi="Verdana"/>
          <w:b w:val="0"/>
          <w:sz w:val="20"/>
        </w:rPr>
        <w:t>o be higher for e-book users than that of non-e-book users</w:t>
      </w:r>
      <w:r w:rsidR="006F4BD3">
        <w:rPr>
          <w:rFonts w:ascii="Verdana" w:hAnsi="Verdana"/>
          <w:b w:val="0"/>
          <w:sz w:val="20"/>
        </w:rPr>
        <w:t xml:space="preserve">. </w:t>
      </w:r>
      <w:r w:rsidR="00F4778A">
        <w:rPr>
          <w:rFonts w:ascii="Verdana" w:hAnsi="Verdana"/>
          <w:b w:val="0"/>
          <w:sz w:val="20"/>
        </w:rPr>
        <w:t xml:space="preserve"> </w:t>
      </w:r>
      <w:r w:rsidR="006F4BD3">
        <w:rPr>
          <w:rFonts w:ascii="Verdana" w:hAnsi="Verdana"/>
          <w:b w:val="0"/>
          <w:sz w:val="20"/>
        </w:rPr>
        <w:t xml:space="preserve">In particular, the extent of improvement in </w:t>
      </w:r>
      <w:r w:rsidR="00C35E6A">
        <w:rPr>
          <w:rFonts w:ascii="Verdana" w:hAnsi="Verdana"/>
          <w:b w:val="0"/>
          <w:sz w:val="20"/>
        </w:rPr>
        <w:t>i</w:t>
      </w:r>
      <w:r w:rsidR="006F4BD3">
        <w:rPr>
          <w:rFonts w:ascii="Verdana" w:hAnsi="Verdana"/>
          <w:b w:val="0"/>
          <w:sz w:val="20"/>
        </w:rPr>
        <w:t xml:space="preserve">ntegral </w:t>
      </w:r>
      <w:r w:rsidR="00C35E6A">
        <w:rPr>
          <w:rFonts w:ascii="Verdana" w:hAnsi="Verdana"/>
          <w:b w:val="0"/>
          <w:sz w:val="20"/>
        </w:rPr>
        <w:t>c</w:t>
      </w:r>
      <w:r w:rsidR="006F4BD3">
        <w:rPr>
          <w:rFonts w:ascii="Verdana" w:hAnsi="Verdana"/>
          <w:b w:val="0"/>
          <w:sz w:val="20"/>
        </w:rPr>
        <w:t>alculus</w:t>
      </w:r>
      <w:r w:rsidR="00C35E6A">
        <w:rPr>
          <w:rFonts w:ascii="Verdana" w:hAnsi="Verdana"/>
          <w:b w:val="0"/>
          <w:sz w:val="20"/>
        </w:rPr>
        <w:t xml:space="preserve"> (IC)</w:t>
      </w:r>
      <w:r w:rsidR="006F4BD3">
        <w:rPr>
          <w:rFonts w:ascii="Verdana" w:hAnsi="Verdana"/>
          <w:b w:val="0"/>
          <w:sz w:val="20"/>
        </w:rPr>
        <w:t xml:space="preserve"> of non-e-book users </w:t>
      </w:r>
      <w:r w:rsidR="00F4778A">
        <w:rPr>
          <w:rFonts w:ascii="Verdana" w:hAnsi="Verdana"/>
          <w:b w:val="0"/>
          <w:sz w:val="20"/>
        </w:rPr>
        <w:t xml:space="preserve">is </w:t>
      </w:r>
      <w:r w:rsidR="00577EC1">
        <w:rPr>
          <w:rFonts w:ascii="Verdana" w:hAnsi="Verdana"/>
          <w:b w:val="0"/>
          <w:sz w:val="20"/>
        </w:rPr>
        <w:t>smaller than</w:t>
      </w:r>
      <w:r w:rsidR="006F4BD3">
        <w:rPr>
          <w:rFonts w:ascii="Verdana" w:hAnsi="Verdana"/>
          <w:b w:val="0"/>
          <w:sz w:val="20"/>
        </w:rPr>
        <w:t xml:space="preserve"> that of the e-book users. </w:t>
      </w:r>
      <w:r w:rsidR="00F4778A">
        <w:rPr>
          <w:rFonts w:ascii="Verdana" w:hAnsi="Verdana"/>
          <w:b w:val="0"/>
          <w:sz w:val="20"/>
        </w:rPr>
        <w:t xml:space="preserve"> </w:t>
      </w:r>
      <w:r w:rsidR="009E60BE">
        <w:rPr>
          <w:rFonts w:ascii="Verdana" w:hAnsi="Verdana"/>
          <w:b w:val="0"/>
          <w:sz w:val="20"/>
        </w:rPr>
        <w:t xml:space="preserve">This </w:t>
      </w:r>
      <w:r w:rsidR="00F4778A">
        <w:rPr>
          <w:rFonts w:ascii="Verdana" w:hAnsi="Verdana"/>
          <w:b w:val="0"/>
          <w:sz w:val="20"/>
        </w:rPr>
        <w:t xml:space="preserve">can </w:t>
      </w:r>
      <w:r w:rsidR="009E60BE">
        <w:rPr>
          <w:rFonts w:ascii="Verdana" w:hAnsi="Verdana"/>
          <w:b w:val="0"/>
          <w:sz w:val="20"/>
        </w:rPr>
        <w:t xml:space="preserve">be confirmed by Bonferroni confidence intervals for mean score difference of e-book </w:t>
      </w:r>
      <w:r w:rsidR="009E60BE" w:rsidRPr="00251C06">
        <w:rPr>
          <w:rFonts w:ascii="Verdana" w:hAnsi="Verdana"/>
          <w:b w:val="0"/>
          <w:sz w:val="20"/>
        </w:rPr>
        <w:t>and non-e-book users</w:t>
      </w:r>
      <w:r w:rsidR="0054390E">
        <w:rPr>
          <w:rFonts w:ascii="Verdana" w:hAnsi="Verdana"/>
          <w:b w:val="0"/>
          <w:sz w:val="20"/>
        </w:rPr>
        <w:t xml:space="preserve"> in</w:t>
      </w:r>
      <w:r w:rsidR="009E60BE">
        <w:rPr>
          <w:rFonts w:ascii="Verdana" w:hAnsi="Verdana"/>
          <w:b w:val="0"/>
          <w:sz w:val="20"/>
        </w:rPr>
        <w:t xml:space="preserve"> </w:t>
      </w:r>
      <w:r w:rsidR="009E60BE" w:rsidRPr="009E60BE">
        <w:rPr>
          <w:rFonts w:ascii="Verdana" w:hAnsi="Verdana"/>
          <w:b w:val="0"/>
          <w:sz w:val="20"/>
        </w:rPr>
        <w:fldChar w:fldCharType="begin"/>
      </w:r>
      <w:r w:rsidR="009E60BE" w:rsidRPr="009E60BE">
        <w:rPr>
          <w:rFonts w:ascii="Verdana" w:hAnsi="Verdana"/>
          <w:b w:val="0"/>
          <w:sz w:val="20"/>
        </w:rPr>
        <w:instrText xml:space="preserve"> REF _Ref482721719 \h  \* MERGEFORMAT </w:instrText>
      </w:r>
      <w:r w:rsidR="009E60BE" w:rsidRPr="009E60BE">
        <w:rPr>
          <w:rFonts w:ascii="Verdana" w:hAnsi="Verdana"/>
          <w:b w:val="0"/>
          <w:sz w:val="20"/>
        </w:rPr>
      </w:r>
      <w:r w:rsidR="009E60BE" w:rsidRPr="009E60BE">
        <w:rPr>
          <w:rFonts w:ascii="Verdana" w:hAnsi="Verdana"/>
          <w:b w:val="0"/>
          <w:sz w:val="20"/>
        </w:rPr>
        <w:fldChar w:fldCharType="separate"/>
      </w:r>
      <w:r w:rsidR="00C3792E" w:rsidRPr="00C3792E">
        <w:rPr>
          <w:rFonts w:ascii="Verdana" w:hAnsi="Verdana"/>
          <w:b w:val="0"/>
          <w:sz w:val="20"/>
        </w:rPr>
        <w:t xml:space="preserve">Table </w:t>
      </w:r>
      <w:r w:rsidR="00C3792E" w:rsidRPr="00C3792E">
        <w:rPr>
          <w:rFonts w:ascii="Verdana" w:hAnsi="Verdana"/>
          <w:b w:val="0"/>
          <w:noProof/>
          <w:sz w:val="20"/>
        </w:rPr>
        <w:t>5</w:t>
      </w:r>
      <w:r w:rsidR="009E60BE" w:rsidRPr="009E60BE">
        <w:rPr>
          <w:rFonts w:ascii="Verdana" w:hAnsi="Verdana"/>
          <w:b w:val="0"/>
          <w:sz w:val="20"/>
        </w:rPr>
        <w:fldChar w:fldCharType="end"/>
      </w:r>
      <w:r w:rsidR="009E60BE">
        <w:rPr>
          <w:rFonts w:ascii="Verdana" w:hAnsi="Verdana"/>
          <w:b w:val="0"/>
          <w:sz w:val="20"/>
        </w:rPr>
        <w:t xml:space="preserve">. </w:t>
      </w:r>
      <w:r w:rsidR="00F4778A">
        <w:rPr>
          <w:rFonts w:ascii="Verdana" w:hAnsi="Verdana"/>
          <w:b w:val="0"/>
          <w:sz w:val="20"/>
        </w:rPr>
        <w:t xml:space="preserve"> </w:t>
      </w:r>
      <w:r w:rsidR="009E60BE">
        <w:rPr>
          <w:rFonts w:ascii="Verdana" w:hAnsi="Verdana"/>
          <w:b w:val="0"/>
          <w:sz w:val="20"/>
        </w:rPr>
        <w:t xml:space="preserve">Only the interval for mean integral calculus scores difference </w:t>
      </w:r>
      <w:r w:rsidR="00F4778A">
        <w:rPr>
          <w:rFonts w:ascii="Verdana" w:hAnsi="Verdana"/>
          <w:b w:val="0"/>
          <w:sz w:val="20"/>
        </w:rPr>
        <w:t xml:space="preserve">does </w:t>
      </w:r>
      <w:r w:rsidR="009E60BE">
        <w:rPr>
          <w:rFonts w:ascii="Verdana" w:hAnsi="Verdana"/>
          <w:b w:val="0"/>
          <w:sz w:val="20"/>
        </w:rPr>
        <w:t xml:space="preserve">not contain zero and </w:t>
      </w:r>
      <w:r w:rsidR="00F4778A">
        <w:rPr>
          <w:rFonts w:ascii="Verdana" w:hAnsi="Verdana"/>
          <w:b w:val="0"/>
          <w:sz w:val="20"/>
        </w:rPr>
        <w:t xml:space="preserve">is </w:t>
      </w:r>
      <w:r w:rsidR="009E60BE">
        <w:rPr>
          <w:rFonts w:ascii="Verdana" w:hAnsi="Verdana"/>
          <w:b w:val="0"/>
          <w:sz w:val="20"/>
        </w:rPr>
        <w:t xml:space="preserve">on the positive side. </w:t>
      </w:r>
      <w:r w:rsidR="00F4778A">
        <w:rPr>
          <w:rFonts w:ascii="Verdana" w:hAnsi="Verdana"/>
          <w:b w:val="0"/>
          <w:sz w:val="20"/>
        </w:rPr>
        <w:t xml:space="preserve"> </w:t>
      </w:r>
      <w:r w:rsidR="009E60BE">
        <w:rPr>
          <w:rFonts w:ascii="Verdana" w:hAnsi="Verdana"/>
          <w:b w:val="0"/>
          <w:sz w:val="20"/>
        </w:rPr>
        <w:t xml:space="preserve">Therefore, the improvement of integral calculus for e-book users </w:t>
      </w:r>
      <w:r w:rsidR="00F4778A">
        <w:rPr>
          <w:rFonts w:ascii="Verdana" w:hAnsi="Verdana"/>
          <w:b w:val="0"/>
          <w:sz w:val="20"/>
        </w:rPr>
        <w:t xml:space="preserve">is </w:t>
      </w:r>
      <w:r w:rsidR="009E60BE">
        <w:rPr>
          <w:rFonts w:ascii="Verdana" w:hAnsi="Verdana"/>
          <w:b w:val="0"/>
          <w:sz w:val="20"/>
        </w:rPr>
        <w:t xml:space="preserve">concluded </w:t>
      </w:r>
      <w:r w:rsidR="00F4778A">
        <w:rPr>
          <w:rFonts w:ascii="Verdana" w:hAnsi="Verdana"/>
          <w:b w:val="0"/>
          <w:sz w:val="20"/>
        </w:rPr>
        <w:t xml:space="preserve">to </w:t>
      </w:r>
      <w:r w:rsidR="009E60BE">
        <w:rPr>
          <w:rFonts w:ascii="Verdana" w:hAnsi="Verdana"/>
          <w:b w:val="0"/>
          <w:sz w:val="20"/>
        </w:rPr>
        <w:t>a greater extent than that of the non-e-book users.</w:t>
      </w:r>
    </w:p>
    <w:p w:rsidR="00251C06" w:rsidRDefault="00D14F6F" w:rsidP="00A03ADB">
      <w:pPr>
        <w:pStyle w:val="Header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27686</wp:posOffset>
            </wp:positionV>
            <wp:extent cx="5507990" cy="2322195"/>
            <wp:effectExtent l="76200" t="19050" r="73660" b="154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books-users-pre-post_IMA -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4"/>
                    <a:stretch/>
                  </pic:blipFill>
                  <pic:spPr bwMode="auto">
                    <a:xfrm>
                      <a:off x="0" y="0"/>
                      <a:ext cx="5507990" cy="2322195"/>
                    </a:xfrm>
                    <a:prstGeom prst="rect">
                      <a:avLst/>
                    </a:prstGeom>
                    <a:ln w="12700" cap="sq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5000" dist="381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Pr="00D14F6F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Pr="00D14F6F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87450C" w:rsidP="00A03ADB">
      <w:pPr>
        <w:pStyle w:val="Header1"/>
        <w:rPr>
          <w:rFonts w:ascii="Verdana" w:hAnsi="Verdana"/>
          <w:b w:val="0"/>
          <w:sz w:val="20"/>
        </w:rPr>
      </w:pPr>
      <w:r>
        <w:rPr>
          <w:noProof/>
          <w:lang w:eastAsia="zh-TW"/>
        </w:rPr>
        <w:drawing>
          <wp:inline distT="0" distB="0" distL="0" distR="0" wp14:anchorId="3449AAEE" wp14:editId="092F40D5">
            <wp:extent cx="5200650" cy="21069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books-users-pre-post_I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079" cy="21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D14F6F" w:rsidRDefault="00D14F6F" w:rsidP="00A03ADB">
      <w:pPr>
        <w:pStyle w:val="Header1"/>
        <w:rPr>
          <w:rFonts w:ascii="Verdana" w:hAnsi="Verdana"/>
          <w:b w:val="0"/>
          <w:sz w:val="20"/>
        </w:rPr>
      </w:pPr>
    </w:p>
    <w:p w:rsidR="00D14F6F" w:rsidRDefault="00D14F6F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F4778A" w:rsidRPr="00D14F6F" w:rsidRDefault="00F4778A" w:rsidP="00A03ADB">
      <w:pPr>
        <w:pStyle w:val="Header1"/>
        <w:rPr>
          <w:rFonts w:ascii="Verdana" w:hAnsi="Verdana"/>
          <w:b w:val="0"/>
          <w:sz w:val="20"/>
        </w:rPr>
      </w:pPr>
    </w:p>
    <w:p w:rsidR="00CD66C0" w:rsidRDefault="00CD66C0" w:rsidP="00701C61">
      <w:pPr>
        <w:pStyle w:val="Caption"/>
        <w:jc w:val="center"/>
        <w:rPr>
          <w:noProof/>
        </w:rPr>
      </w:pPr>
      <w:bookmarkStart w:id="10" w:name="_Ref48226241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792E">
        <w:rPr>
          <w:noProof/>
        </w:rPr>
        <w:t>2</w:t>
      </w:r>
      <w:r>
        <w:fldChar w:fldCharType="end"/>
      </w:r>
      <w:bookmarkEnd w:id="10"/>
      <w:r>
        <w:t xml:space="preserve"> </w:t>
      </w:r>
      <w:r w:rsidR="008355A3">
        <w:t xml:space="preserve"> </w:t>
      </w:r>
      <w:r>
        <w:t>Average Pre- and Post-DT Scores of Underpinning Skills: Algebra (ALG), Differential Calculus (DC), Integral Calculus (DC) and Linear Algebra (</w:t>
      </w:r>
      <w:r w:rsidRPr="00D14F6F">
        <w:t>LA</w:t>
      </w:r>
      <w:r>
        <w:t xml:space="preserve">) </w:t>
      </w:r>
      <w:r>
        <w:rPr>
          <w:noProof/>
        </w:rPr>
        <w:t xml:space="preserve">in </w:t>
      </w:r>
      <w:r w:rsidR="003948DA">
        <w:rPr>
          <w:noProof/>
        </w:rPr>
        <w:t xml:space="preserve">Algebra &amp; </w:t>
      </w:r>
      <w:r>
        <w:rPr>
          <w:noProof/>
        </w:rPr>
        <w:t xml:space="preserve">Calculus Test. </w:t>
      </w:r>
      <w:r w:rsidR="008355A3">
        <w:rPr>
          <w:noProof/>
        </w:rPr>
        <w:t xml:space="preserve"> </w:t>
      </w:r>
      <w:r>
        <w:rPr>
          <w:noProof/>
        </w:rPr>
        <w:t>Here N represents the sample size.</w:t>
      </w:r>
    </w:p>
    <w:p w:rsidR="00F4778A" w:rsidRDefault="00F4778A" w:rsidP="004967A9"/>
    <w:p w:rsidR="00F4778A" w:rsidRDefault="00F4778A" w:rsidP="004967A9"/>
    <w:p w:rsidR="00F4778A" w:rsidRDefault="00F4778A" w:rsidP="004967A9"/>
    <w:p w:rsidR="00F4778A" w:rsidRDefault="00F4778A" w:rsidP="004967A9"/>
    <w:p w:rsidR="00F4778A" w:rsidRPr="003A1484" w:rsidRDefault="00F4778A" w:rsidP="004967A9"/>
    <w:p w:rsidR="00CD66C0" w:rsidRDefault="00CF14D0" w:rsidP="00CF14D0">
      <w:pPr>
        <w:pStyle w:val="Caption"/>
      </w:pPr>
      <w:bookmarkStart w:id="11" w:name="_Ref482265606"/>
      <w:bookmarkStart w:id="12" w:name="_Ref482721719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5</w:t>
      </w:r>
      <w:r>
        <w:fldChar w:fldCharType="end"/>
      </w:r>
      <w:bookmarkEnd w:id="11"/>
      <w:bookmarkEnd w:id="12"/>
      <w:r>
        <w:t xml:space="preserve"> Pre- and Post-DT Percentage Scores Difference in Underpinning Skills: Algebra (ALG), Differential Calculus (DC), Integral Calculus (IC) and Linear Algebra (LA) for e-book </w:t>
      </w:r>
      <w:r w:rsidR="00C030A2">
        <w:t>u</w:t>
      </w:r>
      <w:r>
        <w:t xml:space="preserve">sers and </w:t>
      </w:r>
      <w:r w:rsidR="00C030A2">
        <w:t>n</w:t>
      </w:r>
      <w:r>
        <w:t xml:space="preserve">on-e-book </w:t>
      </w:r>
      <w:r w:rsidR="00C030A2">
        <w:t>u</w:t>
      </w:r>
      <w:r>
        <w:t>sers</w:t>
      </w:r>
      <w:r w:rsidR="00AB0153">
        <w:rPr>
          <w:noProof/>
        </w:rPr>
        <w:t xml:space="preserve">. </w:t>
      </w:r>
      <w:r w:rsidR="008355A3">
        <w:rPr>
          <w:noProof/>
        </w:rPr>
        <w:t xml:space="preserve"> </w:t>
      </w:r>
      <w:r w:rsidR="00AB0153">
        <w:rPr>
          <w:noProof/>
        </w:rPr>
        <w:t>* S</w:t>
      </w:r>
      <w:r w:rsidR="001C7110">
        <w:rPr>
          <w:noProof/>
        </w:rPr>
        <w:t>.</w:t>
      </w:r>
      <w:r w:rsidR="00AB0153">
        <w:rPr>
          <w:noProof/>
        </w:rPr>
        <w:t>D</w:t>
      </w:r>
      <w:r w:rsidR="001C7110">
        <w:rPr>
          <w:noProof/>
        </w:rPr>
        <w:t>.</w:t>
      </w:r>
      <w:r>
        <w:rPr>
          <w:noProof/>
        </w:rPr>
        <w:t xml:space="preserve"> represents standard deviation.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851"/>
        <w:gridCol w:w="1417"/>
        <w:gridCol w:w="1418"/>
        <w:gridCol w:w="1417"/>
        <w:gridCol w:w="1418"/>
      </w:tblGrid>
      <w:tr w:rsidR="005C4F3F" w:rsidRPr="009C038B" w:rsidTr="004967A9">
        <w:trPr>
          <w:trHeight w:val="323"/>
          <w:jc w:val="center"/>
        </w:trPr>
        <w:tc>
          <w:tcPr>
            <w:tcW w:w="2365" w:type="dxa"/>
            <w:vMerge w:val="restart"/>
            <w:shd w:val="clear" w:color="auto" w:fill="auto"/>
            <w:noWrap/>
            <w:vAlign w:val="center"/>
          </w:tcPr>
          <w:p w:rsidR="005C4F3F" w:rsidRPr="00B07081" w:rsidRDefault="00B07081" w:rsidP="004967A9">
            <w:pPr>
              <w:jc w:val="center"/>
              <w:rPr>
                <w:rFonts w:ascii="Verdana" w:hAnsi="Verdana"/>
                <w:b/>
                <w:sz w:val="20"/>
                <w:u w:val="single"/>
                <w:lang w:eastAsia="zh-CN"/>
              </w:rPr>
            </w:pPr>
            <w:r w:rsidRPr="00B07081">
              <w:rPr>
                <w:rFonts w:ascii="Verdana" w:hAnsi="Verdana"/>
                <w:b/>
                <w:sz w:val="20"/>
                <w:u w:val="single"/>
                <w:lang w:eastAsia="zh-CN"/>
              </w:rPr>
              <w:t xml:space="preserve">Algebra </w:t>
            </w:r>
            <w:r w:rsidR="00007B9C">
              <w:rPr>
                <w:rFonts w:ascii="Verdana" w:hAnsi="Verdana"/>
                <w:b/>
                <w:sz w:val="20"/>
                <w:u w:val="single"/>
                <w:lang w:eastAsia="zh-CN"/>
              </w:rPr>
              <w:t xml:space="preserve">and Calculus </w:t>
            </w:r>
            <w:r w:rsidRPr="00B07081">
              <w:rPr>
                <w:rFonts w:ascii="Verdana" w:hAnsi="Verdana"/>
                <w:b/>
                <w:sz w:val="20"/>
                <w:u w:val="single"/>
                <w:lang w:eastAsia="zh-CN"/>
              </w:rPr>
              <w:t>Test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5C4F3F" w:rsidRPr="00CF14D0" w:rsidRDefault="005C4F3F" w:rsidP="004967A9">
            <w:pPr>
              <w:jc w:val="center"/>
              <w:rPr>
                <w:rFonts w:ascii="Verdana" w:hAnsi="Verdana"/>
                <w:b/>
                <w:sz w:val="20"/>
                <w:lang w:eastAsia="zh-CN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C4F3F" w:rsidRPr="007D7A9A" w:rsidRDefault="005C4F3F" w:rsidP="003A1484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7D7A9A">
              <w:rPr>
                <w:rFonts w:ascii="Verdana" w:hAnsi="Verdana"/>
                <w:sz w:val="20"/>
                <w:lang w:eastAsia="zh-CN"/>
              </w:rPr>
              <w:t>Post-DT % Score minus Pre-DT % Score</w:t>
            </w:r>
          </w:p>
        </w:tc>
      </w:tr>
      <w:tr w:rsidR="005C4F3F" w:rsidRPr="009C038B" w:rsidTr="004967A9">
        <w:trPr>
          <w:trHeight w:val="260"/>
          <w:jc w:val="center"/>
        </w:trPr>
        <w:tc>
          <w:tcPr>
            <w:tcW w:w="2365" w:type="dxa"/>
            <w:vMerge/>
            <w:shd w:val="clear" w:color="auto" w:fill="auto"/>
            <w:noWrap/>
            <w:vAlign w:val="bottom"/>
            <w:hideMark/>
          </w:tcPr>
          <w:p w:rsidR="005C4F3F" w:rsidRPr="00CF14D0" w:rsidRDefault="005C4F3F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5C4F3F" w:rsidRPr="00CF14D0" w:rsidRDefault="005C4F3F" w:rsidP="004967A9">
            <w:pPr>
              <w:jc w:val="center"/>
              <w:rPr>
                <w:rFonts w:ascii="Verdana" w:hAnsi="Verdana"/>
                <w:b/>
                <w:sz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F3F" w:rsidRPr="007D7A9A" w:rsidRDefault="005C4F3F" w:rsidP="003A1484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7D7A9A">
              <w:rPr>
                <w:rFonts w:ascii="Verdana" w:hAnsi="Verdana"/>
                <w:sz w:val="20"/>
                <w:lang w:eastAsia="zh-CN"/>
              </w:rPr>
              <w:t>ALG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4F3F" w:rsidRPr="007D7A9A" w:rsidRDefault="005C4F3F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7D7A9A">
              <w:rPr>
                <w:rFonts w:ascii="Verdana" w:hAnsi="Verdana"/>
                <w:sz w:val="20"/>
                <w:lang w:eastAsia="zh-CN"/>
              </w:rPr>
              <w:t>DC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F3F" w:rsidRPr="007D7A9A" w:rsidRDefault="005C4F3F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7D7A9A">
              <w:rPr>
                <w:rFonts w:ascii="Verdana" w:hAnsi="Verdana"/>
                <w:sz w:val="20"/>
                <w:lang w:eastAsia="zh-CN"/>
              </w:rPr>
              <w:t>IC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4F3F" w:rsidRPr="007D7A9A" w:rsidRDefault="005C4F3F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7D7A9A">
              <w:rPr>
                <w:rFonts w:ascii="Verdana" w:hAnsi="Verdana"/>
                <w:sz w:val="20"/>
                <w:lang w:eastAsia="zh-CN"/>
              </w:rPr>
              <w:t>LA</w:t>
            </w:r>
          </w:p>
        </w:tc>
      </w:tr>
      <w:tr w:rsidR="00CF14D0" w:rsidRPr="009C038B" w:rsidTr="004967A9">
        <w:trPr>
          <w:trHeight w:val="300"/>
          <w:jc w:val="center"/>
        </w:trPr>
        <w:tc>
          <w:tcPr>
            <w:tcW w:w="2365" w:type="dxa"/>
            <w:vMerge w:val="restart"/>
            <w:shd w:val="clear" w:color="auto" w:fill="auto"/>
            <w:noWrap/>
            <w:vAlign w:val="center"/>
            <w:hideMark/>
          </w:tcPr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B07081">
              <w:rPr>
                <w:rFonts w:ascii="Verdana" w:hAnsi="Verdana"/>
                <w:sz w:val="20"/>
                <w:lang w:eastAsia="zh-CN"/>
              </w:rPr>
              <w:t>e-book users</w:t>
            </w:r>
          </w:p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B07081">
              <w:rPr>
                <w:rFonts w:ascii="Verdana" w:hAnsi="Verdana"/>
                <w:sz w:val="20"/>
                <w:lang w:eastAsia="zh-CN"/>
              </w:rPr>
              <w:t>(10 students)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  <w:lang w:eastAsia="zh-CN"/>
              </w:rPr>
              <w:t>Mean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3.3%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8.3%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5.0%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13.8%</w:t>
            </w:r>
          </w:p>
        </w:tc>
      </w:tr>
      <w:tr w:rsidR="00CF14D0" w:rsidRPr="009C038B" w:rsidTr="004967A9">
        <w:trPr>
          <w:trHeight w:val="300"/>
          <w:jc w:val="center"/>
        </w:trPr>
        <w:tc>
          <w:tcPr>
            <w:tcW w:w="2365" w:type="dxa"/>
            <w:vMerge/>
            <w:shd w:val="clear" w:color="auto" w:fill="auto"/>
            <w:noWrap/>
            <w:vAlign w:val="center"/>
            <w:hideMark/>
          </w:tcPr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4D0" w:rsidRPr="00CF14D0" w:rsidRDefault="00AB0153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  <w:lang w:eastAsia="zh-CN"/>
              </w:rPr>
              <w:t>S</w:t>
            </w:r>
            <w:r w:rsidR="001C7110">
              <w:rPr>
                <w:rFonts w:ascii="Verdana" w:hAnsi="Verdana"/>
                <w:sz w:val="20"/>
                <w:lang w:eastAsia="zh-CN"/>
              </w:rPr>
              <w:t>.</w:t>
            </w:r>
            <w:r>
              <w:rPr>
                <w:rFonts w:ascii="Verdana" w:hAnsi="Verdana"/>
                <w:sz w:val="20"/>
                <w:lang w:eastAsia="zh-CN"/>
              </w:rPr>
              <w:t>D</w:t>
            </w:r>
            <w:r w:rsidR="001C7110">
              <w:rPr>
                <w:rFonts w:ascii="Verdana" w:hAnsi="Verdana"/>
                <w:sz w:val="20"/>
                <w:lang w:eastAsia="zh-CN"/>
              </w:rPr>
              <w:t>.</w:t>
            </w:r>
            <w:r w:rsidR="00CF14D0">
              <w:rPr>
                <w:rFonts w:ascii="Verdana" w:hAnsi="Verdana"/>
                <w:sz w:val="20"/>
                <w:lang w:eastAsia="zh-CN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14.9%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18.0%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15.8%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17.1%</w:t>
            </w:r>
          </w:p>
        </w:tc>
      </w:tr>
      <w:tr w:rsidR="00CF14D0" w:rsidRPr="009C038B" w:rsidTr="004967A9">
        <w:trPr>
          <w:trHeight w:val="300"/>
          <w:jc w:val="center"/>
        </w:trPr>
        <w:tc>
          <w:tcPr>
            <w:tcW w:w="2365" w:type="dxa"/>
            <w:vMerge w:val="restart"/>
            <w:shd w:val="clear" w:color="auto" w:fill="auto"/>
            <w:noWrap/>
            <w:vAlign w:val="center"/>
            <w:hideMark/>
          </w:tcPr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B07081">
              <w:rPr>
                <w:rFonts w:ascii="Verdana" w:hAnsi="Verdana"/>
                <w:sz w:val="20"/>
                <w:lang w:eastAsia="zh-CN"/>
              </w:rPr>
              <w:t>non-e-book users</w:t>
            </w:r>
          </w:p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B07081">
              <w:rPr>
                <w:rFonts w:ascii="Verdana" w:hAnsi="Verdana"/>
                <w:sz w:val="20"/>
                <w:lang w:eastAsia="zh-CN"/>
              </w:rPr>
              <w:t>(12 students)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  <w:lang w:eastAsia="zh-CN"/>
              </w:rPr>
              <w:t>Mean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2.8%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5.6%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1.0%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10.4%</w:t>
            </w:r>
          </w:p>
        </w:tc>
      </w:tr>
      <w:tr w:rsidR="00CF14D0" w:rsidRPr="009C038B" w:rsidTr="004967A9">
        <w:trPr>
          <w:trHeight w:val="300"/>
          <w:jc w:val="center"/>
        </w:trPr>
        <w:tc>
          <w:tcPr>
            <w:tcW w:w="2365" w:type="dxa"/>
            <w:vMerge/>
            <w:shd w:val="clear" w:color="auto" w:fill="auto"/>
            <w:noWrap/>
            <w:vAlign w:val="center"/>
            <w:hideMark/>
          </w:tcPr>
          <w:p w:rsidR="00CF14D0" w:rsidRPr="00B07081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4D0" w:rsidRPr="00CF14D0" w:rsidRDefault="001C711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  <w:lang w:eastAsia="zh-CN"/>
              </w:rPr>
              <w:t>S.D.</w:t>
            </w:r>
            <w:r w:rsidR="004F71D9">
              <w:rPr>
                <w:rFonts w:ascii="Verdana" w:hAnsi="Verdana"/>
                <w:sz w:val="20"/>
                <w:lang w:eastAsia="zh-CN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10.7%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17.9%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15.5%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14D0" w:rsidRPr="00CF14D0" w:rsidRDefault="00CF14D0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CF14D0">
              <w:rPr>
                <w:rFonts w:ascii="Verdana" w:hAnsi="Verdana"/>
                <w:sz w:val="20"/>
                <w:lang w:eastAsia="zh-CN"/>
              </w:rPr>
              <w:t>20.5%</w:t>
            </w:r>
          </w:p>
        </w:tc>
      </w:tr>
      <w:tr w:rsidR="007B0A13" w:rsidRPr="009C038B" w:rsidTr="004967A9">
        <w:trPr>
          <w:trHeight w:val="818"/>
          <w:jc w:val="center"/>
        </w:trPr>
        <w:tc>
          <w:tcPr>
            <w:tcW w:w="3216" w:type="dxa"/>
            <w:gridSpan w:val="2"/>
            <w:shd w:val="clear" w:color="auto" w:fill="auto"/>
            <w:noWrap/>
            <w:vAlign w:val="center"/>
          </w:tcPr>
          <w:p w:rsidR="007B0A13" w:rsidRPr="00CF14D0" w:rsidRDefault="007B0A13" w:rsidP="004967A9">
            <w:pPr>
              <w:jc w:val="center"/>
              <w:rPr>
                <w:rFonts w:ascii="Verdana" w:hAnsi="Verdana"/>
                <w:sz w:val="20"/>
                <w:lang w:eastAsia="zh-CN"/>
              </w:rPr>
            </w:pPr>
            <w:r w:rsidRPr="00B07081">
              <w:rPr>
                <w:rFonts w:ascii="Verdana" w:hAnsi="Verdana"/>
                <w:sz w:val="20"/>
                <w:lang w:eastAsia="zh-CN"/>
              </w:rPr>
              <w:t>95% Bonferroni</w:t>
            </w:r>
            <w:r>
              <w:rPr>
                <w:rFonts w:ascii="Verdana" w:hAnsi="Verdana"/>
                <w:sz w:val="20"/>
                <w:lang w:eastAsia="zh-CN"/>
              </w:rPr>
              <w:t xml:space="preserve"> confidence</w:t>
            </w:r>
            <w:r w:rsidRPr="00B07081">
              <w:rPr>
                <w:rFonts w:ascii="Verdana" w:hAnsi="Verdana"/>
                <w:sz w:val="20"/>
                <w:lang w:eastAsia="zh-CN"/>
              </w:rPr>
              <w:t xml:space="preserve"> intervals for mean score difference</w:t>
            </w:r>
            <w:r w:rsidR="000D19F7">
              <w:rPr>
                <w:rFonts w:ascii="Verdana" w:hAnsi="Verdana"/>
                <w:sz w:val="20"/>
                <w:lang w:eastAsia="zh-CN"/>
              </w:rPr>
              <w:t xml:space="preserve"> between groups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0A13" w:rsidRPr="003A1484" w:rsidRDefault="007B0A13" w:rsidP="004967A9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3A1484">
              <w:rPr>
                <w:rFonts w:ascii="Verdana" w:hAnsi="Verdana"/>
                <w:sz w:val="16"/>
                <w:szCs w:val="16"/>
                <w:lang w:eastAsia="zh-CN"/>
              </w:rPr>
              <w:t>(-2.2% 3.3%)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0A13" w:rsidRPr="008355A3" w:rsidRDefault="007B0A13" w:rsidP="004967A9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8355A3">
              <w:rPr>
                <w:rFonts w:ascii="Verdana" w:hAnsi="Verdana"/>
                <w:sz w:val="16"/>
                <w:szCs w:val="16"/>
                <w:lang w:eastAsia="zh-CN"/>
              </w:rPr>
              <w:t>(-1.1% ,6.7%)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0A13" w:rsidRPr="008355A3" w:rsidRDefault="007B0A13" w:rsidP="004967A9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8355A3">
              <w:rPr>
                <w:rFonts w:ascii="Verdana" w:hAnsi="Verdana"/>
                <w:sz w:val="16"/>
                <w:szCs w:val="16"/>
                <w:lang w:eastAsia="zh-CN"/>
              </w:rPr>
              <w:t>(0.5% ,7.4%)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0A13" w:rsidRPr="008355A3" w:rsidRDefault="007B0A13" w:rsidP="004967A9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8355A3">
              <w:rPr>
                <w:rFonts w:ascii="Verdana" w:hAnsi="Verdana"/>
                <w:sz w:val="16"/>
                <w:szCs w:val="16"/>
                <w:lang w:eastAsia="zh-CN"/>
              </w:rPr>
              <w:t>(-0.8% ,7.5%)</w:t>
            </w:r>
          </w:p>
        </w:tc>
      </w:tr>
    </w:tbl>
    <w:p w:rsidR="006D0E34" w:rsidRPr="004967A9" w:rsidRDefault="006D0E34" w:rsidP="00594696">
      <w:pPr>
        <w:pStyle w:val="Header1"/>
        <w:rPr>
          <w:rFonts w:ascii="Verdana" w:hAnsi="Verdana"/>
          <w:b w:val="0"/>
        </w:rPr>
      </w:pPr>
    </w:p>
    <w:p w:rsidR="00780EE8" w:rsidRPr="008A57DD" w:rsidRDefault="00A83780" w:rsidP="004967A9">
      <w:pPr>
        <w:pStyle w:val="Body"/>
        <w:snapToGrid w:val="0"/>
        <w:spacing w:line="240" w:lineRule="auto"/>
        <w:rPr>
          <w:rFonts w:ascii="Verdana" w:hAnsi="Verdana"/>
          <w:b/>
        </w:rPr>
      </w:pPr>
      <w:r w:rsidRPr="008A57DD">
        <w:rPr>
          <w:rFonts w:ascii="Verdana" w:hAnsi="Verdana"/>
          <w:b/>
        </w:rPr>
        <w:t>3.3.</w:t>
      </w:r>
      <w:r w:rsidR="006D0E34" w:rsidRPr="008A57DD">
        <w:rPr>
          <w:rFonts w:ascii="Verdana" w:hAnsi="Verdana"/>
          <w:b/>
        </w:rPr>
        <w:t>3</w:t>
      </w:r>
      <w:r w:rsidR="0086018B" w:rsidRPr="008A57DD">
        <w:rPr>
          <w:rFonts w:ascii="Verdana" w:hAnsi="Verdana"/>
          <w:b/>
        </w:rPr>
        <w:t>.</w:t>
      </w:r>
      <w:r w:rsidRPr="008A57DD">
        <w:rPr>
          <w:rFonts w:ascii="Verdana" w:hAnsi="Verdana"/>
          <w:b/>
        </w:rPr>
        <w:t xml:space="preserve"> First Semester Mathematics Subject Performance</w:t>
      </w:r>
    </w:p>
    <w:p w:rsidR="00A40337" w:rsidRDefault="0002126E" w:rsidP="004967A9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noProof/>
          <w:lang w:eastAsia="zh-TW"/>
        </w:rPr>
        <w:drawing>
          <wp:anchor distT="0" distB="0" distL="114300" distR="114300" simplePos="0" relativeHeight="251666944" behindDoc="0" locked="0" layoutInCell="1" allowOverlap="1" wp14:anchorId="559E7605" wp14:editId="3B228C90">
            <wp:simplePos x="0" y="0"/>
            <wp:positionH relativeFrom="column">
              <wp:posOffset>849630</wp:posOffset>
            </wp:positionH>
            <wp:positionV relativeFrom="paragraph">
              <wp:posOffset>471170</wp:posOffset>
            </wp:positionV>
            <wp:extent cx="4035600" cy="2203200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6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DD" w:rsidRPr="008A57DD">
        <w:rPr>
          <w:rFonts w:ascii="Verdana" w:hAnsi="Verdana"/>
        </w:rPr>
        <w:fldChar w:fldCharType="begin"/>
      </w:r>
      <w:r w:rsidR="008A57DD" w:rsidRPr="00971BC2">
        <w:rPr>
          <w:rFonts w:ascii="Verdana" w:hAnsi="Verdana"/>
        </w:rPr>
        <w:instrText xml:space="preserve"> REF _Ref482190097 </w:instrText>
      </w:r>
      <w:r w:rsidR="008A57DD">
        <w:rPr>
          <w:rFonts w:ascii="Verdana" w:hAnsi="Verdana"/>
        </w:rPr>
        <w:instrText xml:space="preserve"> \* MERGEFORMAT </w:instrText>
      </w:r>
      <w:r w:rsidR="008A57DD" w:rsidRPr="008A57DD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Figure </w:t>
      </w:r>
      <w:r w:rsidR="00C3792E" w:rsidRPr="00C3792E">
        <w:rPr>
          <w:rFonts w:ascii="Verdana" w:hAnsi="Verdana"/>
          <w:noProof/>
        </w:rPr>
        <w:t>3</w:t>
      </w:r>
      <w:r w:rsidR="008A57DD" w:rsidRPr="008A57DD">
        <w:rPr>
          <w:rFonts w:ascii="Verdana" w:hAnsi="Verdana"/>
        </w:rPr>
        <w:fldChar w:fldCharType="end"/>
      </w:r>
      <w:r w:rsidR="008A57DD" w:rsidRPr="008A57DD">
        <w:rPr>
          <w:rFonts w:ascii="Verdana" w:hAnsi="Verdana"/>
        </w:rPr>
        <w:t xml:space="preserve"> </w:t>
      </w:r>
      <w:r w:rsidR="003E5799" w:rsidRPr="00BF22E5">
        <w:rPr>
          <w:rFonts w:ascii="Verdana" w:hAnsi="Verdana"/>
        </w:rPr>
        <w:t>shows</w:t>
      </w:r>
      <w:r w:rsidR="003E5799">
        <w:rPr>
          <w:rFonts w:ascii="Verdana" w:hAnsi="Verdana"/>
        </w:rPr>
        <w:t xml:space="preserve"> that </w:t>
      </w:r>
      <w:r w:rsidR="00781459">
        <w:rPr>
          <w:rFonts w:ascii="Verdana" w:hAnsi="Verdana"/>
        </w:rPr>
        <w:t xml:space="preserve">all </w:t>
      </w:r>
      <w:r w:rsidR="00AE6383">
        <w:rPr>
          <w:rFonts w:ascii="Verdana" w:hAnsi="Verdana"/>
        </w:rPr>
        <w:t>e-book users had GPA of</w:t>
      </w:r>
      <w:r w:rsidR="00D8582F">
        <w:rPr>
          <w:rFonts w:ascii="Verdana" w:hAnsi="Verdana"/>
        </w:rPr>
        <w:t xml:space="preserve"> 2.5 or above, while </w:t>
      </w:r>
      <w:r w:rsidR="00AE6383">
        <w:rPr>
          <w:rFonts w:ascii="Verdana" w:hAnsi="Verdana"/>
        </w:rPr>
        <w:t xml:space="preserve">some </w:t>
      </w:r>
      <w:r w:rsidR="00D8582F">
        <w:rPr>
          <w:rFonts w:ascii="Verdana" w:hAnsi="Verdana"/>
        </w:rPr>
        <w:t xml:space="preserve">non-e-book users </w:t>
      </w:r>
      <w:r w:rsidR="00AE6383">
        <w:rPr>
          <w:rFonts w:ascii="Verdana" w:hAnsi="Verdana"/>
        </w:rPr>
        <w:t>failed</w:t>
      </w:r>
      <w:r w:rsidR="003E5799">
        <w:rPr>
          <w:rFonts w:ascii="Verdana" w:hAnsi="Verdana"/>
        </w:rPr>
        <w:t xml:space="preserve"> </w:t>
      </w:r>
      <w:r w:rsidR="008758C6">
        <w:rPr>
          <w:rFonts w:ascii="Verdana" w:hAnsi="Verdana"/>
        </w:rPr>
        <w:t>in</w:t>
      </w:r>
      <w:r w:rsidR="003E5799">
        <w:rPr>
          <w:rFonts w:ascii="Verdana" w:hAnsi="Verdana"/>
        </w:rPr>
        <w:t xml:space="preserve"> AL test; and </w:t>
      </w:r>
      <w:r w:rsidR="00AC4325">
        <w:rPr>
          <w:rFonts w:ascii="Verdana" w:hAnsi="Verdana"/>
        </w:rPr>
        <w:t xml:space="preserve">e-book users </w:t>
      </w:r>
      <w:r w:rsidR="008758C6">
        <w:rPr>
          <w:rFonts w:ascii="Verdana" w:hAnsi="Verdana"/>
        </w:rPr>
        <w:t>tended had higher</w:t>
      </w:r>
      <w:r w:rsidR="00AC4325">
        <w:rPr>
          <w:rFonts w:ascii="Verdana" w:hAnsi="Verdana"/>
        </w:rPr>
        <w:t xml:space="preserve"> GPA </w:t>
      </w:r>
      <w:r w:rsidR="008758C6">
        <w:rPr>
          <w:rFonts w:ascii="Verdana" w:hAnsi="Verdana"/>
        </w:rPr>
        <w:t>compared with non-e-book</w:t>
      </w:r>
      <w:r w:rsidR="00AC4325">
        <w:rPr>
          <w:rFonts w:ascii="Verdana" w:hAnsi="Verdana"/>
        </w:rPr>
        <w:t xml:space="preserve"> us</w:t>
      </w:r>
      <w:r w:rsidR="003E5799">
        <w:rPr>
          <w:rFonts w:ascii="Verdana" w:hAnsi="Verdana"/>
        </w:rPr>
        <w:t>ers</w:t>
      </w:r>
      <w:r w:rsidR="008758C6">
        <w:rPr>
          <w:rFonts w:ascii="Verdana" w:hAnsi="Verdana"/>
        </w:rPr>
        <w:t xml:space="preserve"> in</w:t>
      </w:r>
      <w:r w:rsidR="003E5799">
        <w:rPr>
          <w:rFonts w:ascii="Verdana" w:hAnsi="Verdana"/>
        </w:rPr>
        <w:t xml:space="preserve"> AC test.</w:t>
      </w:r>
    </w:p>
    <w:p w:rsidR="00701C61" w:rsidRDefault="00345605" w:rsidP="00701C61">
      <w:pPr>
        <w:pStyle w:val="Body"/>
        <w:rPr>
          <w:rFonts w:ascii="Verdana" w:hAnsi="Verdana"/>
        </w:rPr>
      </w:pPr>
      <w:r>
        <w:rPr>
          <w:noProof/>
          <w:lang w:eastAsia="zh-TW"/>
        </w:rPr>
        <w:t xml:space="preserve"> </w:t>
      </w:r>
    </w:p>
    <w:p w:rsidR="00701C61" w:rsidRDefault="00701C61" w:rsidP="00701C61">
      <w:pPr>
        <w:pStyle w:val="Body"/>
        <w:rPr>
          <w:rFonts w:ascii="Verdana" w:hAnsi="Verdana"/>
        </w:rPr>
      </w:pPr>
    </w:p>
    <w:p w:rsidR="00701C61" w:rsidRDefault="00701C61" w:rsidP="00701C61">
      <w:pPr>
        <w:pStyle w:val="Body"/>
        <w:rPr>
          <w:rFonts w:ascii="Verdana" w:hAnsi="Verdana"/>
        </w:rPr>
      </w:pPr>
    </w:p>
    <w:p w:rsidR="00701C61" w:rsidRDefault="00701C61" w:rsidP="00701C61">
      <w:pPr>
        <w:pStyle w:val="Body"/>
        <w:rPr>
          <w:rFonts w:ascii="Verdana" w:hAnsi="Verdana"/>
        </w:rPr>
      </w:pPr>
    </w:p>
    <w:p w:rsidR="0002126E" w:rsidRPr="0002126E" w:rsidRDefault="0002126E" w:rsidP="00701C61">
      <w:pPr>
        <w:pStyle w:val="Body"/>
        <w:rPr>
          <w:rFonts w:ascii="Verdana" w:hAnsi="Verdana"/>
          <w:sz w:val="40"/>
          <w:szCs w:val="40"/>
        </w:rPr>
      </w:pPr>
    </w:p>
    <w:p w:rsidR="00701C61" w:rsidRPr="0002126E" w:rsidRDefault="00701C61" w:rsidP="00701C61">
      <w:pPr>
        <w:pStyle w:val="Body"/>
        <w:rPr>
          <w:rFonts w:ascii="Verdana" w:hAnsi="Verdana"/>
          <w:sz w:val="40"/>
          <w:szCs w:val="40"/>
        </w:rPr>
      </w:pPr>
    </w:p>
    <w:p w:rsidR="00701C61" w:rsidRDefault="00701C61" w:rsidP="00701C61">
      <w:pPr>
        <w:pStyle w:val="Body"/>
        <w:rPr>
          <w:rFonts w:ascii="Verdana" w:hAnsi="Verdana"/>
        </w:rPr>
      </w:pPr>
    </w:p>
    <w:p w:rsidR="00701C61" w:rsidRDefault="00701C61" w:rsidP="00701C61">
      <w:pPr>
        <w:pStyle w:val="Body"/>
        <w:rPr>
          <w:rFonts w:ascii="Verdana" w:hAnsi="Verdana"/>
        </w:rPr>
      </w:pPr>
    </w:p>
    <w:p w:rsidR="00701C61" w:rsidRDefault="00701C61" w:rsidP="00701C61">
      <w:pPr>
        <w:pStyle w:val="Body"/>
        <w:rPr>
          <w:rFonts w:ascii="Verdana" w:hAnsi="Verdana"/>
        </w:rPr>
      </w:pPr>
    </w:p>
    <w:p w:rsidR="00701C61" w:rsidRDefault="00701C61" w:rsidP="0002126E">
      <w:pPr>
        <w:pStyle w:val="Caption"/>
        <w:spacing w:before="240"/>
        <w:jc w:val="center"/>
      </w:pPr>
      <w:bookmarkStart w:id="13" w:name="_Ref48219009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792E">
        <w:rPr>
          <w:noProof/>
        </w:rPr>
        <w:t>3</w:t>
      </w:r>
      <w:r>
        <w:fldChar w:fldCharType="end"/>
      </w:r>
      <w:bookmarkEnd w:id="13"/>
      <w:r>
        <w:t xml:space="preserve"> </w:t>
      </w:r>
      <w:r w:rsidR="008355A3">
        <w:t xml:space="preserve"> </w:t>
      </w:r>
      <w:r>
        <w:t>Distribution of Pre- and Post-DTs Participants' First Semester Ma</w:t>
      </w:r>
      <w:r w:rsidR="00D672A5">
        <w:t>thematics Examination GPA</w:t>
      </w:r>
      <w:r>
        <w:t>: 0</w:t>
      </w:r>
      <w:r w:rsidR="002F727A">
        <w:t xml:space="preserve"> (fail)</w:t>
      </w:r>
      <w:r w:rsidR="001C5D54">
        <w:t>,</w:t>
      </w:r>
      <w:r>
        <w:t xml:space="preserve"> 1</w:t>
      </w:r>
      <w:r w:rsidR="002F727A">
        <w:t xml:space="preserve"> (D) to</w:t>
      </w:r>
      <w:r>
        <w:t xml:space="preserve"> 4</w:t>
      </w:r>
      <w:r w:rsidR="002F727A">
        <w:t xml:space="preserve"> (A), with 0.5 increment representing </w:t>
      </w:r>
      <w:r w:rsidR="00433990">
        <w:t>an “+”</w:t>
      </w:r>
      <w:r>
        <w:t>.</w:t>
      </w:r>
    </w:p>
    <w:p w:rsidR="00D160E1" w:rsidRDefault="008355A3" w:rsidP="006A7F25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="00AE45EA">
        <w:rPr>
          <w:rFonts w:ascii="Verdana" w:hAnsi="Verdana"/>
        </w:rPr>
        <w:t xml:space="preserve">an </w:t>
      </w:r>
      <w:r w:rsidR="00BF0FFF">
        <w:rPr>
          <w:rFonts w:ascii="Verdana" w:hAnsi="Verdana"/>
        </w:rPr>
        <w:t xml:space="preserve">examination GPA </w:t>
      </w:r>
      <w:r w:rsidR="00077144">
        <w:rPr>
          <w:rFonts w:ascii="Verdana" w:hAnsi="Verdana"/>
        </w:rPr>
        <w:t xml:space="preserve">may </w:t>
      </w:r>
      <w:r w:rsidR="00BF0FFF">
        <w:rPr>
          <w:rFonts w:ascii="Verdana" w:hAnsi="Verdana"/>
        </w:rPr>
        <w:t>r</w:t>
      </w:r>
      <w:r w:rsidR="0068033D">
        <w:rPr>
          <w:rFonts w:ascii="Verdana" w:hAnsi="Verdana"/>
        </w:rPr>
        <w:t>efer</w:t>
      </w:r>
      <w:r w:rsidR="00BF0FFF">
        <w:rPr>
          <w:rFonts w:ascii="Verdana" w:hAnsi="Verdana"/>
        </w:rPr>
        <w:t xml:space="preserve"> </w:t>
      </w:r>
      <w:r w:rsidR="000276F9">
        <w:rPr>
          <w:rFonts w:ascii="Verdana" w:hAnsi="Verdana"/>
        </w:rPr>
        <w:t xml:space="preserve">to </w:t>
      </w:r>
      <w:r w:rsidR="00172DEE">
        <w:rPr>
          <w:rFonts w:ascii="Verdana" w:hAnsi="Verdana"/>
        </w:rPr>
        <w:t>different</w:t>
      </w:r>
      <w:r w:rsidR="000276F9">
        <w:rPr>
          <w:rFonts w:ascii="Verdana" w:hAnsi="Verdana"/>
        </w:rPr>
        <w:t xml:space="preserve"> range</w:t>
      </w:r>
      <w:r w:rsidR="0083203B">
        <w:rPr>
          <w:rFonts w:ascii="Verdana" w:hAnsi="Verdana"/>
        </w:rPr>
        <w:t>s</w:t>
      </w:r>
      <w:r w:rsidR="000276F9">
        <w:rPr>
          <w:rFonts w:ascii="Verdana" w:hAnsi="Verdana"/>
        </w:rPr>
        <w:t xml:space="preserve"> of</w:t>
      </w:r>
      <w:r w:rsidR="00BF0FFF">
        <w:rPr>
          <w:rFonts w:ascii="Verdana" w:hAnsi="Verdana"/>
        </w:rPr>
        <w:t xml:space="preserve"> </w:t>
      </w:r>
      <w:r w:rsidR="008C4504">
        <w:rPr>
          <w:rFonts w:ascii="Verdana" w:hAnsi="Verdana"/>
        </w:rPr>
        <w:t xml:space="preserve">examination scores for </w:t>
      </w:r>
      <w:r w:rsidR="000276F9">
        <w:rPr>
          <w:rFonts w:ascii="Verdana" w:hAnsi="Verdana"/>
        </w:rPr>
        <w:t>different subjects</w:t>
      </w:r>
      <w:r w:rsidR="008C4504">
        <w:rPr>
          <w:rFonts w:ascii="Verdana" w:hAnsi="Verdana"/>
        </w:rPr>
        <w:t xml:space="preserve"> and </w:t>
      </w:r>
      <w:r w:rsidR="00BF0FFF">
        <w:rPr>
          <w:rFonts w:ascii="Verdana" w:hAnsi="Verdana"/>
        </w:rPr>
        <w:t xml:space="preserve">GPA has a limited number of </w:t>
      </w:r>
      <w:r w:rsidR="00A224D3">
        <w:rPr>
          <w:rFonts w:ascii="Verdana" w:hAnsi="Verdana"/>
        </w:rPr>
        <w:t xml:space="preserve">ordinal </w:t>
      </w:r>
      <w:r w:rsidR="00BF0FFF">
        <w:rPr>
          <w:rFonts w:ascii="Verdana" w:hAnsi="Verdana"/>
        </w:rPr>
        <w:t>categories</w:t>
      </w:r>
      <w:r w:rsidR="00A224D3">
        <w:rPr>
          <w:rFonts w:ascii="Verdana" w:hAnsi="Verdana"/>
        </w:rPr>
        <w:t xml:space="preserve"> of</w:t>
      </w:r>
      <w:r w:rsidR="000276F9">
        <w:rPr>
          <w:rFonts w:ascii="Verdana" w:hAnsi="Verdana"/>
        </w:rPr>
        <w:t xml:space="preserve"> the performance</w:t>
      </w:r>
      <w:r>
        <w:rPr>
          <w:rFonts w:ascii="Verdana" w:hAnsi="Verdana"/>
        </w:rPr>
        <w:t xml:space="preserve">, we have treated </w:t>
      </w:r>
      <w:r w:rsidR="00BF0FFF">
        <w:rPr>
          <w:rFonts w:ascii="Verdana" w:hAnsi="Verdana"/>
        </w:rPr>
        <w:t>the examination GPA</w:t>
      </w:r>
      <w:r w:rsidR="000276F9">
        <w:rPr>
          <w:rFonts w:ascii="Verdana" w:hAnsi="Verdana"/>
        </w:rPr>
        <w:t xml:space="preserve"> as </w:t>
      </w:r>
      <w:r w:rsidR="000C3606">
        <w:rPr>
          <w:rFonts w:ascii="Verdana" w:hAnsi="Verdana"/>
        </w:rPr>
        <w:t xml:space="preserve">an </w:t>
      </w:r>
      <w:r w:rsidR="001155E3">
        <w:rPr>
          <w:rFonts w:ascii="Verdana" w:hAnsi="Verdana"/>
        </w:rPr>
        <w:t xml:space="preserve">ordinal </w:t>
      </w:r>
      <w:r w:rsidR="008C4504">
        <w:rPr>
          <w:rFonts w:ascii="Verdana" w:hAnsi="Verdana"/>
        </w:rPr>
        <w:t>variable for analysis</w:t>
      </w:r>
      <w:r w:rsidR="001155E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="001155E3">
        <w:rPr>
          <w:rFonts w:ascii="Verdana" w:hAnsi="Verdana"/>
        </w:rPr>
        <w:t xml:space="preserve">We </w:t>
      </w:r>
      <w:r>
        <w:rPr>
          <w:rFonts w:ascii="Verdana" w:hAnsi="Verdana"/>
        </w:rPr>
        <w:t xml:space="preserve">have </w:t>
      </w:r>
      <w:r w:rsidR="001155E3">
        <w:rPr>
          <w:rFonts w:ascii="Verdana" w:hAnsi="Verdana"/>
        </w:rPr>
        <w:t>adopt</w:t>
      </w:r>
      <w:r w:rsidR="00A40337">
        <w:rPr>
          <w:rFonts w:ascii="Verdana" w:hAnsi="Verdana"/>
        </w:rPr>
        <w:t>ed</w:t>
      </w:r>
      <w:r w:rsidR="001155E3">
        <w:rPr>
          <w:rFonts w:ascii="Verdana" w:hAnsi="Verdana"/>
        </w:rPr>
        <w:t xml:space="preserve"> Mann-Whitney </w:t>
      </w:r>
      <w:r w:rsidR="001155E3" w:rsidRPr="00BD0CB8">
        <w:rPr>
          <w:rFonts w:ascii="Verdana" w:hAnsi="Verdana"/>
          <w:i/>
        </w:rPr>
        <w:t>U</w:t>
      </w:r>
      <w:r w:rsidR="001155E3">
        <w:rPr>
          <w:rFonts w:ascii="Verdana" w:hAnsi="Verdana"/>
        </w:rPr>
        <w:t xml:space="preserve"> test (</w:t>
      </w:r>
      <w:r w:rsidR="00111010">
        <w:rPr>
          <w:rFonts w:ascii="Verdana" w:hAnsi="Verdana"/>
        </w:rPr>
        <w:t>Gay et al</w:t>
      </w:r>
      <w:r w:rsidR="00213641">
        <w:rPr>
          <w:rFonts w:ascii="Verdana" w:hAnsi="Verdana"/>
        </w:rPr>
        <w:t>.</w:t>
      </w:r>
      <w:r w:rsidR="00111010">
        <w:rPr>
          <w:rFonts w:ascii="Verdana" w:hAnsi="Verdana"/>
        </w:rPr>
        <w:t>, 2009</w:t>
      </w:r>
      <w:r w:rsidR="001155E3">
        <w:rPr>
          <w:rFonts w:ascii="Verdana" w:hAnsi="Verdana"/>
        </w:rPr>
        <w:t xml:space="preserve">), the nonparametric statistical tool developed based on ranks, on comparing </w:t>
      </w:r>
      <w:r w:rsidR="009C7A0C">
        <w:rPr>
          <w:rFonts w:ascii="Verdana" w:hAnsi="Verdana"/>
        </w:rPr>
        <w:t xml:space="preserve">median </w:t>
      </w:r>
      <w:r w:rsidR="001155E3">
        <w:rPr>
          <w:rFonts w:ascii="Verdana" w:hAnsi="Verdana"/>
        </w:rPr>
        <w:t>GPA score</w:t>
      </w:r>
      <w:r w:rsidR="009C7A0C">
        <w:rPr>
          <w:rFonts w:ascii="Verdana" w:hAnsi="Verdana"/>
        </w:rPr>
        <w:t>s</w:t>
      </w:r>
      <w:r w:rsidR="001155E3">
        <w:rPr>
          <w:rFonts w:ascii="Verdana" w:hAnsi="Verdana"/>
        </w:rPr>
        <w:t xml:space="preserve"> between groups. </w:t>
      </w:r>
      <w:r>
        <w:rPr>
          <w:rFonts w:ascii="Verdana" w:hAnsi="Verdana"/>
        </w:rPr>
        <w:t xml:space="preserve"> </w:t>
      </w:r>
      <w:r w:rsidR="00A40337">
        <w:rPr>
          <w:rFonts w:ascii="Verdana" w:hAnsi="Verdana"/>
        </w:rPr>
        <w:t xml:space="preserve">The null hypothesis </w:t>
      </w:r>
      <w:r>
        <w:rPr>
          <w:rFonts w:ascii="Verdana" w:hAnsi="Verdana"/>
        </w:rPr>
        <w:t xml:space="preserve">is </w:t>
      </w:r>
      <w:r w:rsidR="00A40337">
        <w:rPr>
          <w:rFonts w:ascii="Verdana" w:hAnsi="Verdana"/>
        </w:rPr>
        <w:t xml:space="preserve">the median examination GPA score of the e-book users </w:t>
      </w:r>
      <w:r>
        <w:rPr>
          <w:rFonts w:ascii="Verdana" w:hAnsi="Verdana"/>
        </w:rPr>
        <w:t xml:space="preserve">is </w:t>
      </w:r>
      <w:r w:rsidR="00A40337">
        <w:rPr>
          <w:rFonts w:ascii="Verdana" w:hAnsi="Verdana"/>
        </w:rPr>
        <w:t>less than or equal to that of the non-e-book users.</w:t>
      </w:r>
      <w:r w:rsidR="00610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10A01" w:rsidRPr="006E6A1E">
        <w:rPr>
          <w:rFonts w:ascii="Verdana" w:hAnsi="Verdana"/>
        </w:rPr>
        <w:fldChar w:fldCharType="begin"/>
      </w:r>
      <w:r w:rsidR="00610A01" w:rsidRPr="006E6A1E">
        <w:rPr>
          <w:rFonts w:ascii="Verdana" w:hAnsi="Verdana"/>
        </w:rPr>
        <w:instrText xml:space="preserve"> REF _Ref482783263 \h </w:instrText>
      </w:r>
      <w:r w:rsidR="006E6A1E">
        <w:rPr>
          <w:rFonts w:ascii="Verdana" w:hAnsi="Verdana"/>
        </w:rPr>
        <w:instrText xml:space="preserve"> \* MERGEFORMAT </w:instrText>
      </w:r>
      <w:r w:rsidR="00610A01" w:rsidRPr="006E6A1E">
        <w:rPr>
          <w:rFonts w:ascii="Verdana" w:hAnsi="Verdana"/>
        </w:rPr>
      </w:r>
      <w:r w:rsidR="00610A01" w:rsidRPr="006E6A1E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Table </w:t>
      </w:r>
      <w:r w:rsidR="00C3792E" w:rsidRPr="00C3792E">
        <w:rPr>
          <w:rFonts w:ascii="Verdana" w:hAnsi="Verdana"/>
          <w:noProof/>
        </w:rPr>
        <w:t>6</w:t>
      </w:r>
      <w:r w:rsidR="00610A01" w:rsidRPr="006E6A1E">
        <w:rPr>
          <w:rFonts w:ascii="Verdana" w:hAnsi="Verdana"/>
        </w:rPr>
        <w:fldChar w:fldCharType="end"/>
      </w:r>
      <w:r w:rsidR="00610A01" w:rsidRPr="006E6A1E">
        <w:rPr>
          <w:rFonts w:ascii="Verdana" w:hAnsi="Verdana"/>
        </w:rPr>
        <w:t xml:space="preserve"> indicate</w:t>
      </w:r>
      <w:r>
        <w:rPr>
          <w:rFonts w:ascii="Verdana" w:hAnsi="Verdana"/>
        </w:rPr>
        <w:t>s</w:t>
      </w:r>
      <w:r w:rsidR="00610A01" w:rsidRPr="006E6A1E">
        <w:rPr>
          <w:rFonts w:ascii="Verdana" w:hAnsi="Verdana"/>
        </w:rPr>
        <w:t xml:space="preserve"> that the </w:t>
      </w:r>
      <w:r w:rsidR="00610A01" w:rsidRPr="00364B89">
        <w:rPr>
          <w:rFonts w:ascii="Verdana" w:hAnsi="Verdana"/>
          <w:i/>
        </w:rPr>
        <w:t>p</w:t>
      </w:r>
      <w:r w:rsidR="00610A01" w:rsidRPr="006E6A1E">
        <w:rPr>
          <w:rFonts w:ascii="Verdana" w:hAnsi="Verdana"/>
        </w:rPr>
        <w:t>-value</w:t>
      </w:r>
      <w:r w:rsidR="0005483C">
        <w:rPr>
          <w:rFonts w:ascii="Verdana" w:hAnsi="Verdana"/>
        </w:rPr>
        <w:t>s</w:t>
      </w:r>
      <w:r w:rsidR="00610A01" w:rsidRPr="006E6A1E">
        <w:rPr>
          <w:rFonts w:ascii="Verdana" w:hAnsi="Verdana"/>
        </w:rPr>
        <w:t xml:space="preserve"> for both test groups </w:t>
      </w:r>
      <w:r w:rsidR="0005483C">
        <w:rPr>
          <w:rFonts w:ascii="Verdana" w:hAnsi="Verdana"/>
        </w:rPr>
        <w:t>are</w:t>
      </w:r>
      <w:r>
        <w:rPr>
          <w:rFonts w:ascii="Verdana" w:hAnsi="Verdana"/>
        </w:rPr>
        <w:t xml:space="preserve"> </w:t>
      </w:r>
      <w:r w:rsidR="00610A01" w:rsidRPr="006E6A1E">
        <w:rPr>
          <w:rFonts w:ascii="Verdana" w:hAnsi="Verdana"/>
        </w:rPr>
        <w:t>greater than 0.05.</w:t>
      </w:r>
      <w:r>
        <w:rPr>
          <w:rFonts w:ascii="Verdana" w:hAnsi="Verdana"/>
        </w:rPr>
        <w:t xml:space="preserve"> </w:t>
      </w:r>
      <w:r w:rsidR="0005483C">
        <w:rPr>
          <w:rFonts w:ascii="Verdana" w:hAnsi="Verdana"/>
        </w:rPr>
        <w:t xml:space="preserve"> </w:t>
      </w:r>
      <w:r w:rsidR="00610A01" w:rsidRPr="006E6A1E">
        <w:rPr>
          <w:rFonts w:ascii="Verdana" w:hAnsi="Verdana"/>
        </w:rPr>
        <w:t>No differen</w:t>
      </w:r>
      <w:r w:rsidR="00610A01" w:rsidRPr="00610A01">
        <w:rPr>
          <w:rFonts w:ascii="Verdana" w:hAnsi="Verdana"/>
        </w:rPr>
        <w:t>ce in the results of the first semester mathematics examination between groups</w:t>
      </w:r>
      <w:r w:rsidR="00610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</w:t>
      </w:r>
      <w:r w:rsidR="00610A01">
        <w:rPr>
          <w:rFonts w:ascii="Verdana" w:hAnsi="Verdana"/>
        </w:rPr>
        <w:t>conclud</w:t>
      </w:r>
      <w:r w:rsidR="0005483C">
        <w:rPr>
          <w:rFonts w:ascii="Verdana" w:hAnsi="Verdana"/>
        </w:rPr>
        <w:t>ed at 5% significance level for</w:t>
      </w:r>
      <w:r w:rsidR="00610A01">
        <w:rPr>
          <w:rFonts w:ascii="Verdana" w:hAnsi="Verdana"/>
        </w:rPr>
        <w:t xml:space="preserve"> </w:t>
      </w:r>
      <w:r w:rsidR="0005483C">
        <w:rPr>
          <w:rFonts w:ascii="Verdana" w:hAnsi="Verdana"/>
        </w:rPr>
        <w:t xml:space="preserve">both </w:t>
      </w:r>
      <w:r w:rsidR="00610A01">
        <w:rPr>
          <w:rFonts w:ascii="Verdana" w:hAnsi="Verdana"/>
        </w:rPr>
        <w:t>test</w:t>
      </w:r>
      <w:bookmarkStart w:id="14" w:name="_GoBack"/>
      <w:bookmarkEnd w:id="14"/>
      <w:r w:rsidR="00610A01">
        <w:rPr>
          <w:rFonts w:ascii="Verdana" w:hAnsi="Verdana"/>
        </w:rPr>
        <w:t xml:space="preserve"> groups.</w:t>
      </w:r>
    </w:p>
    <w:p w:rsidR="00175C73" w:rsidRPr="00175C73" w:rsidRDefault="00A309B7">
      <w:pPr>
        <w:pStyle w:val="Caption"/>
      </w:pPr>
      <w:bookmarkStart w:id="15" w:name="_Ref4827832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792E">
        <w:rPr>
          <w:noProof/>
        </w:rPr>
        <w:t>6</w:t>
      </w:r>
      <w:r>
        <w:fldChar w:fldCharType="end"/>
      </w:r>
      <w:bookmarkEnd w:id="15"/>
      <w:r>
        <w:t xml:space="preserve"> </w:t>
      </w:r>
      <w:r w:rsidR="008355A3">
        <w:t xml:space="preserve"> </w:t>
      </w:r>
      <w:r>
        <w:t xml:space="preserve">Mann-Whitney </w:t>
      </w:r>
      <w:r w:rsidRPr="00CB6B2C">
        <w:rPr>
          <w:i/>
        </w:rPr>
        <w:t>U</w:t>
      </w:r>
      <w:r>
        <w:t xml:space="preserve"> Test on testing whether </w:t>
      </w:r>
      <w:r w:rsidR="006A7F25">
        <w:t xml:space="preserve">the </w:t>
      </w:r>
      <w:r>
        <w:t>median</w:t>
      </w:r>
      <w:r w:rsidR="006A7F25">
        <w:t xml:space="preserve"> </w:t>
      </w:r>
      <w:r w:rsidR="003F105F">
        <w:t xml:space="preserve">mathematics </w:t>
      </w:r>
      <w:r w:rsidR="00A237D2">
        <w:t xml:space="preserve">examination </w:t>
      </w:r>
      <w:r w:rsidR="006A7F25">
        <w:t>GPA</w:t>
      </w:r>
      <w:r>
        <w:t xml:space="preserve"> of e-book users </w:t>
      </w:r>
      <w:r w:rsidR="008355A3">
        <w:t xml:space="preserve">is </w:t>
      </w:r>
      <w:r>
        <w:t>less than that of non-book users</w:t>
      </w:r>
      <w:r w:rsidR="003F105F">
        <w:t xml:space="preserve"> in the first semester</w:t>
      </w:r>
    </w:p>
    <w:tbl>
      <w:tblPr>
        <w:tblpPr w:leftFromText="180" w:rightFromText="180" w:vertAnchor="text" w:horzAnchor="margin" w:tblpY="15"/>
        <w:tblW w:w="9131" w:type="dxa"/>
        <w:tblLook w:val="04A0" w:firstRow="1" w:lastRow="0" w:firstColumn="1" w:lastColumn="0" w:noHBand="0" w:noVBand="1"/>
      </w:tblPr>
      <w:tblGrid>
        <w:gridCol w:w="1100"/>
        <w:gridCol w:w="2147"/>
        <w:gridCol w:w="966"/>
        <w:gridCol w:w="1029"/>
        <w:gridCol w:w="998"/>
        <w:gridCol w:w="1839"/>
        <w:gridCol w:w="1052"/>
      </w:tblGrid>
      <w:tr w:rsidR="008355A3" w:rsidRPr="00906E66" w:rsidTr="006A7F25">
        <w:trPr>
          <w:trHeight w:val="62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8355A3">
            <w:pPr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8355A3">
            <w:pPr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3A1484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 xml:space="preserve">Sample </w:t>
            </w: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size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175C73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Median GPA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D75AA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Range of GPA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32451A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 xml:space="preserve">Mann-Whitney </w:t>
            </w:r>
            <w:r w:rsidRPr="00906E66">
              <w:rPr>
                <w:rFonts w:ascii="Verdana" w:hAnsi="Verdana"/>
                <w:i/>
                <w:color w:val="000000"/>
                <w:sz w:val="20"/>
                <w:lang w:eastAsia="zh-CN"/>
              </w:rPr>
              <w:t>U</w:t>
            </w: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 xml:space="preserve"> test statistic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5674E7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i/>
                <w:color w:val="000000"/>
                <w:sz w:val="20"/>
                <w:lang w:eastAsia="zh-CN"/>
              </w:rPr>
              <w:t>p</w:t>
            </w: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-value</w:t>
            </w:r>
          </w:p>
        </w:tc>
      </w:tr>
      <w:tr w:rsidR="008355A3" w:rsidRPr="00906E66" w:rsidTr="006A7F25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AL Test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e-book users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3.5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3A1484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156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175C73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0.3443</w:t>
            </w:r>
          </w:p>
        </w:tc>
      </w:tr>
      <w:tr w:rsidR="008355A3" w:rsidRPr="00906E66" w:rsidTr="006A7F25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non-e-book users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3.5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4.5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</w:tr>
      <w:tr w:rsidR="008355A3" w:rsidRPr="00906E66" w:rsidTr="006A7F25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AC Test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e-book users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3A1484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lang w:eastAsia="zh-CN"/>
              </w:rPr>
              <w:t>59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175C73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0.0874</w:t>
            </w:r>
          </w:p>
        </w:tc>
      </w:tr>
      <w:tr w:rsidR="008355A3" w:rsidRPr="00906E66" w:rsidTr="006A7F25">
        <w:trPr>
          <w:trHeight w:val="30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8355A3">
            <w:pPr>
              <w:rPr>
                <w:rFonts w:ascii="Verdana" w:hAnsi="Verdana"/>
                <w:color w:val="000000"/>
                <w:sz w:val="20"/>
                <w:lang w:eastAsia="zh-CN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non-e-book users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A3" w:rsidRPr="00906E66" w:rsidRDefault="008355A3" w:rsidP="006A7F25">
            <w:pPr>
              <w:jc w:val="center"/>
              <w:rPr>
                <w:rFonts w:ascii="Verdana" w:hAnsi="Verdana"/>
                <w:color w:val="000000"/>
                <w:sz w:val="20"/>
                <w:lang w:eastAsia="zh-CN"/>
              </w:rPr>
            </w:pPr>
            <w:r w:rsidRPr="00906E66">
              <w:rPr>
                <w:rFonts w:ascii="Verdana" w:hAnsi="Verdana"/>
                <w:color w:val="000000"/>
                <w:sz w:val="20"/>
                <w:lang w:eastAsia="zh-CN"/>
              </w:rPr>
              <w:t>1.5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A3" w:rsidRPr="00906E66" w:rsidRDefault="008355A3" w:rsidP="008355A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A3" w:rsidRPr="00906E66" w:rsidRDefault="008355A3" w:rsidP="008355A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A83780" w:rsidRPr="00887A39" w:rsidRDefault="00A83780" w:rsidP="00AA5242">
      <w:pPr>
        <w:pStyle w:val="Header2"/>
        <w:ind w:left="709" w:hanging="709"/>
        <w:jc w:val="left"/>
        <w:rPr>
          <w:rFonts w:ascii="Verdana" w:hAnsi="Verdana"/>
          <w:sz w:val="20"/>
        </w:rPr>
      </w:pPr>
      <w:r w:rsidRPr="00887A39">
        <w:rPr>
          <w:rFonts w:ascii="Verdana" w:hAnsi="Verdana"/>
          <w:sz w:val="20"/>
        </w:rPr>
        <w:lastRenderedPageBreak/>
        <w:t>3.3.</w:t>
      </w:r>
      <w:r w:rsidR="004E02CF" w:rsidRPr="00887A39">
        <w:rPr>
          <w:rFonts w:ascii="Verdana" w:hAnsi="Verdana"/>
          <w:sz w:val="20"/>
        </w:rPr>
        <w:t>4</w:t>
      </w:r>
      <w:r w:rsidR="00887A39" w:rsidRPr="00887A39">
        <w:rPr>
          <w:rFonts w:ascii="Verdana" w:hAnsi="Verdana"/>
          <w:sz w:val="20"/>
        </w:rPr>
        <w:t>.</w:t>
      </w:r>
      <w:r w:rsidRPr="00887A39">
        <w:rPr>
          <w:rFonts w:ascii="Verdana" w:hAnsi="Verdana"/>
          <w:sz w:val="20"/>
        </w:rPr>
        <w:t xml:space="preserve"> e-Book Usage Pattern and First Semester Mathematics Performance</w:t>
      </w:r>
    </w:p>
    <w:p w:rsidR="00A83780" w:rsidRPr="009B3AEF" w:rsidRDefault="0038002C" w:rsidP="006A15C3">
      <w:pPr>
        <w:pStyle w:val="Header1"/>
        <w:snapToGrid w:val="0"/>
        <w:spacing w:after="0" w:line="24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</w:t>
      </w:r>
      <w:r w:rsidR="006B03A2">
        <w:rPr>
          <w:rFonts w:ascii="Verdana" w:hAnsi="Verdana"/>
          <w:b w:val="0"/>
          <w:sz w:val="20"/>
        </w:rPr>
        <w:t>-book users taken AL</w:t>
      </w:r>
      <w:r w:rsidR="00211CB7">
        <w:rPr>
          <w:rFonts w:ascii="Verdana" w:hAnsi="Verdana"/>
          <w:b w:val="0"/>
          <w:sz w:val="20"/>
        </w:rPr>
        <w:t xml:space="preserve"> test</w:t>
      </w:r>
      <w:r>
        <w:rPr>
          <w:rFonts w:ascii="Verdana" w:hAnsi="Verdana"/>
          <w:b w:val="0"/>
          <w:sz w:val="20"/>
        </w:rPr>
        <w:t xml:space="preserve"> had</w:t>
      </w:r>
      <w:r w:rsidR="00211CB7">
        <w:rPr>
          <w:rFonts w:ascii="Verdana" w:hAnsi="Verdana"/>
          <w:b w:val="0"/>
          <w:sz w:val="20"/>
        </w:rPr>
        <w:t xml:space="preserve"> the median DSE Core Math Score 4 and the range from 4 to 6</w:t>
      </w:r>
      <w:r w:rsidR="00EE4472">
        <w:rPr>
          <w:rFonts w:ascii="Verdana" w:hAnsi="Verdana"/>
          <w:b w:val="0"/>
          <w:sz w:val="20"/>
        </w:rPr>
        <w:t xml:space="preserve"> (i.e. 5*)</w:t>
      </w:r>
      <w:r>
        <w:rPr>
          <w:rFonts w:ascii="Verdana" w:hAnsi="Verdana"/>
          <w:b w:val="0"/>
          <w:sz w:val="20"/>
        </w:rPr>
        <w:t>, while</w:t>
      </w:r>
      <w:r w:rsidR="00211CB7">
        <w:rPr>
          <w:rFonts w:ascii="Verdana" w:hAnsi="Verdana"/>
          <w:b w:val="0"/>
          <w:sz w:val="20"/>
        </w:rPr>
        <w:t xml:space="preserve"> e-book users taken </w:t>
      </w:r>
      <w:r w:rsidR="006B03A2">
        <w:rPr>
          <w:rFonts w:ascii="Verdana" w:hAnsi="Verdana"/>
          <w:b w:val="0"/>
          <w:sz w:val="20"/>
        </w:rPr>
        <w:t>AC</w:t>
      </w:r>
      <w:r w:rsidR="00211CB7">
        <w:rPr>
          <w:rFonts w:ascii="Verdana" w:hAnsi="Verdana"/>
          <w:b w:val="0"/>
          <w:sz w:val="20"/>
        </w:rPr>
        <w:t xml:space="preserve"> test</w:t>
      </w:r>
      <w:r>
        <w:rPr>
          <w:rFonts w:ascii="Verdana" w:hAnsi="Verdana"/>
          <w:b w:val="0"/>
          <w:sz w:val="20"/>
        </w:rPr>
        <w:t xml:space="preserve"> had</w:t>
      </w:r>
      <w:r w:rsidR="00211CB7">
        <w:rPr>
          <w:rFonts w:ascii="Verdana" w:hAnsi="Verdana"/>
          <w:b w:val="0"/>
          <w:sz w:val="20"/>
        </w:rPr>
        <w:t xml:space="preserve"> the median DSE Core Math score 5 and the range</w:t>
      </w:r>
      <w:r w:rsidR="00AA5015">
        <w:rPr>
          <w:rFonts w:ascii="Verdana" w:hAnsi="Verdana"/>
          <w:b w:val="0"/>
          <w:sz w:val="20"/>
        </w:rPr>
        <w:t xml:space="preserve"> </w:t>
      </w:r>
      <w:r w:rsidR="00211CB7">
        <w:rPr>
          <w:rFonts w:ascii="Verdana" w:hAnsi="Verdana"/>
          <w:b w:val="0"/>
          <w:sz w:val="20"/>
        </w:rPr>
        <w:t xml:space="preserve">from 4 to 7 (i.e. 5**). </w:t>
      </w:r>
      <w:r w:rsidR="003A1484">
        <w:rPr>
          <w:rFonts w:ascii="Verdana" w:hAnsi="Verdana"/>
          <w:b w:val="0"/>
          <w:sz w:val="20"/>
        </w:rPr>
        <w:t xml:space="preserve"> </w:t>
      </w:r>
      <w:r w:rsidR="00211CB7">
        <w:rPr>
          <w:rFonts w:ascii="Verdana" w:hAnsi="Verdana"/>
          <w:b w:val="0"/>
          <w:sz w:val="20"/>
        </w:rPr>
        <w:t>This indica</w:t>
      </w:r>
      <w:r w:rsidR="006B27A4">
        <w:rPr>
          <w:rFonts w:ascii="Verdana" w:hAnsi="Verdana"/>
          <w:b w:val="0"/>
          <w:sz w:val="20"/>
        </w:rPr>
        <w:t>te</w:t>
      </w:r>
      <w:r w:rsidR="003A1484">
        <w:rPr>
          <w:rFonts w:ascii="Verdana" w:hAnsi="Verdana"/>
          <w:b w:val="0"/>
          <w:sz w:val="20"/>
        </w:rPr>
        <w:t>s</w:t>
      </w:r>
      <w:r w:rsidR="006B27A4">
        <w:rPr>
          <w:rFonts w:ascii="Verdana" w:hAnsi="Verdana"/>
          <w:b w:val="0"/>
          <w:sz w:val="20"/>
        </w:rPr>
        <w:t xml:space="preserve"> that e-book users </w:t>
      </w:r>
      <w:r w:rsidR="003A1484">
        <w:rPr>
          <w:rFonts w:ascii="Verdana" w:hAnsi="Verdana"/>
          <w:b w:val="0"/>
          <w:sz w:val="20"/>
        </w:rPr>
        <w:t>are</w:t>
      </w:r>
      <w:r w:rsidR="006B27A4">
        <w:rPr>
          <w:rFonts w:ascii="Verdana" w:hAnsi="Verdana"/>
          <w:b w:val="0"/>
          <w:sz w:val="20"/>
        </w:rPr>
        <w:t xml:space="preserve"> </w:t>
      </w:r>
      <w:r w:rsidR="00CA65BF">
        <w:rPr>
          <w:rFonts w:ascii="Verdana" w:hAnsi="Verdana"/>
          <w:b w:val="0"/>
          <w:sz w:val="20"/>
        </w:rPr>
        <w:t>compete</w:t>
      </w:r>
      <w:r w:rsidR="006B27A4">
        <w:rPr>
          <w:rFonts w:ascii="Verdana" w:hAnsi="Verdana"/>
          <w:b w:val="0"/>
          <w:sz w:val="20"/>
        </w:rPr>
        <w:t>nt</w:t>
      </w:r>
      <w:r w:rsidR="00211CB7">
        <w:rPr>
          <w:rFonts w:ascii="Verdana" w:hAnsi="Verdana"/>
          <w:b w:val="0"/>
          <w:sz w:val="20"/>
        </w:rPr>
        <w:t xml:space="preserve"> learners. </w:t>
      </w:r>
      <w:r w:rsidR="003A1484">
        <w:rPr>
          <w:rFonts w:ascii="Verdana" w:hAnsi="Verdana"/>
          <w:b w:val="0"/>
          <w:sz w:val="20"/>
        </w:rPr>
        <w:t xml:space="preserve"> </w:t>
      </w:r>
      <w:r w:rsidR="00F0159E" w:rsidRPr="002A760D">
        <w:rPr>
          <w:rFonts w:ascii="Verdana" w:hAnsi="Verdana"/>
          <w:b w:val="0"/>
          <w:sz w:val="20"/>
        </w:rPr>
        <w:fldChar w:fldCharType="begin"/>
      </w:r>
      <w:r w:rsidR="00F0159E" w:rsidRPr="002A760D">
        <w:rPr>
          <w:rFonts w:ascii="Verdana" w:hAnsi="Verdana"/>
          <w:b w:val="0"/>
          <w:sz w:val="20"/>
        </w:rPr>
        <w:instrText xml:space="preserve"> REF _Ref482797923 \h  \* </w:instrText>
      </w:r>
      <w:r w:rsidR="009F7BE1" w:rsidRPr="002A760D">
        <w:rPr>
          <w:rFonts w:ascii="Verdana" w:hAnsi="Verdana"/>
          <w:b w:val="0"/>
          <w:sz w:val="20"/>
        </w:rPr>
        <w:instrText>MERGE</w:instrText>
      </w:r>
      <w:r w:rsidR="00F0159E" w:rsidRPr="002A760D">
        <w:rPr>
          <w:rFonts w:ascii="Verdana" w:hAnsi="Verdana"/>
          <w:b w:val="0"/>
          <w:sz w:val="20"/>
        </w:rPr>
        <w:instrText xml:space="preserve">FORMAT </w:instrText>
      </w:r>
      <w:r w:rsidR="00F0159E" w:rsidRPr="002A760D">
        <w:rPr>
          <w:rFonts w:ascii="Verdana" w:hAnsi="Verdana"/>
          <w:b w:val="0"/>
          <w:sz w:val="20"/>
        </w:rPr>
      </w:r>
      <w:r w:rsidR="00F0159E" w:rsidRPr="002A760D">
        <w:rPr>
          <w:rFonts w:ascii="Verdana" w:hAnsi="Verdana"/>
          <w:b w:val="0"/>
          <w:sz w:val="20"/>
        </w:rPr>
        <w:fldChar w:fldCharType="separate"/>
      </w:r>
      <w:r w:rsidR="00C3792E" w:rsidRPr="002A760D">
        <w:rPr>
          <w:rFonts w:ascii="Verdana" w:hAnsi="Verdana"/>
          <w:b w:val="0"/>
          <w:bCs/>
          <w:sz w:val="20"/>
        </w:rPr>
        <w:t>Figure 4</w:t>
      </w:r>
      <w:r w:rsidR="00F0159E" w:rsidRPr="002A760D">
        <w:rPr>
          <w:rFonts w:ascii="Verdana" w:hAnsi="Verdana"/>
          <w:b w:val="0"/>
          <w:sz w:val="20"/>
        </w:rPr>
        <w:fldChar w:fldCharType="end"/>
      </w:r>
      <w:r w:rsidR="00F0159E" w:rsidRPr="002A760D">
        <w:rPr>
          <w:rFonts w:ascii="Verdana" w:hAnsi="Verdana"/>
          <w:b w:val="0"/>
          <w:sz w:val="20"/>
        </w:rPr>
        <w:t xml:space="preserve"> sh</w:t>
      </w:r>
      <w:r w:rsidR="00F0159E">
        <w:rPr>
          <w:rFonts w:ascii="Verdana" w:hAnsi="Verdana"/>
          <w:b w:val="0"/>
          <w:sz w:val="20"/>
        </w:rPr>
        <w:t>ows t</w:t>
      </w:r>
      <w:r w:rsidR="00892B42">
        <w:rPr>
          <w:rFonts w:ascii="Verdana" w:hAnsi="Verdana"/>
          <w:b w:val="0"/>
          <w:sz w:val="20"/>
        </w:rPr>
        <w:t xml:space="preserve">heir </w:t>
      </w:r>
      <w:r w:rsidR="00211CB7">
        <w:rPr>
          <w:rFonts w:ascii="Verdana" w:hAnsi="Verdana"/>
          <w:b w:val="0"/>
          <w:sz w:val="20"/>
        </w:rPr>
        <w:t>first semester Mathematics examination</w:t>
      </w:r>
      <w:r w:rsidR="00892B42">
        <w:rPr>
          <w:rFonts w:ascii="Verdana" w:hAnsi="Verdana"/>
          <w:b w:val="0"/>
          <w:sz w:val="20"/>
        </w:rPr>
        <w:t xml:space="preserve"> GPA</w:t>
      </w:r>
      <w:r w:rsidR="003C64A0">
        <w:rPr>
          <w:rFonts w:ascii="Verdana" w:hAnsi="Verdana"/>
          <w:b w:val="0"/>
          <w:sz w:val="20"/>
        </w:rPr>
        <w:t xml:space="preserve"> rang</w:t>
      </w:r>
      <w:r w:rsidR="003A1484">
        <w:rPr>
          <w:rFonts w:ascii="Verdana" w:hAnsi="Verdana"/>
          <w:b w:val="0"/>
          <w:sz w:val="20"/>
        </w:rPr>
        <w:t xml:space="preserve">ing </w:t>
      </w:r>
      <w:r w:rsidR="003C64A0">
        <w:rPr>
          <w:rFonts w:ascii="Verdana" w:hAnsi="Verdana"/>
          <w:b w:val="0"/>
          <w:sz w:val="20"/>
        </w:rPr>
        <w:t xml:space="preserve">from 2.5 to 4.5 </w:t>
      </w:r>
      <w:r w:rsidR="00F0159E">
        <w:rPr>
          <w:rFonts w:ascii="Verdana" w:hAnsi="Verdana"/>
          <w:b w:val="0"/>
          <w:sz w:val="20"/>
        </w:rPr>
        <w:t xml:space="preserve">and </w:t>
      </w:r>
      <w:r w:rsidR="00161501">
        <w:rPr>
          <w:rFonts w:ascii="Verdana" w:hAnsi="Verdana"/>
          <w:b w:val="0"/>
          <w:sz w:val="20"/>
        </w:rPr>
        <w:t xml:space="preserve">most </w:t>
      </w:r>
      <w:r w:rsidR="00F0159E">
        <w:rPr>
          <w:rFonts w:ascii="Verdana" w:hAnsi="Verdana"/>
          <w:b w:val="0"/>
          <w:sz w:val="20"/>
        </w:rPr>
        <w:t>of</w:t>
      </w:r>
      <w:r w:rsidR="005545AF">
        <w:rPr>
          <w:rFonts w:ascii="Verdana" w:hAnsi="Verdana"/>
          <w:b w:val="0"/>
          <w:sz w:val="20"/>
        </w:rPr>
        <w:t xml:space="preserve"> the users spent less than 2</w:t>
      </w:r>
      <w:r w:rsidR="00161501">
        <w:rPr>
          <w:rFonts w:ascii="Verdana" w:hAnsi="Verdana"/>
          <w:b w:val="0"/>
          <w:sz w:val="20"/>
        </w:rPr>
        <w:t xml:space="preserve"> hours on e-books per week</w:t>
      </w:r>
      <w:r w:rsidR="00F0159E">
        <w:rPr>
          <w:rFonts w:ascii="Verdana" w:hAnsi="Verdana"/>
          <w:b w:val="0"/>
          <w:sz w:val="20"/>
        </w:rPr>
        <w:t>.</w:t>
      </w:r>
      <w:r w:rsidR="00211CB7">
        <w:rPr>
          <w:rFonts w:ascii="Verdana" w:hAnsi="Verdana"/>
          <w:b w:val="0"/>
          <w:sz w:val="20"/>
        </w:rPr>
        <w:t xml:space="preserve"> </w:t>
      </w:r>
      <w:r w:rsidR="003A1484">
        <w:rPr>
          <w:rFonts w:ascii="Verdana" w:hAnsi="Verdana"/>
          <w:b w:val="0"/>
          <w:sz w:val="20"/>
        </w:rPr>
        <w:t xml:space="preserve"> </w:t>
      </w:r>
      <w:r w:rsidR="00F0159E">
        <w:rPr>
          <w:rFonts w:ascii="Verdana" w:hAnsi="Verdana"/>
          <w:b w:val="0"/>
          <w:sz w:val="20"/>
        </w:rPr>
        <w:t>The</w:t>
      </w:r>
      <w:r w:rsidR="00211CB7">
        <w:rPr>
          <w:rFonts w:ascii="Verdana" w:hAnsi="Verdana"/>
          <w:b w:val="0"/>
          <w:sz w:val="20"/>
        </w:rPr>
        <w:t xml:space="preserve"> relationship on </w:t>
      </w:r>
      <w:r w:rsidR="00F0159E">
        <w:rPr>
          <w:rFonts w:ascii="Verdana" w:hAnsi="Verdana"/>
          <w:b w:val="0"/>
          <w:sz w:val="20"/>
        </w:rPr>
        <w:t>exam</w:t>
      </w:r>
      <w:r w:rsidR="00211CB7">
        <w:rPr>
          <w:rFonts w:ascii="Verdana" w:hAnsi="Verdana"/>
          <w:b w:val="0"/>
          <w:sz w:val="20"/>
        </w:rPr>
        <w:t xml:space="preserve"> GPA and </w:t>
      </w:r>
      <w:r w:rsidR="00F0159E">
        <w:rPr>
          <w:rFonts w:ascii="Verdana" w:hAnsi="Verdana"/>
          <w:b w:val="0"/>
          <w:sz w:val="20"/>
        </w:rPr>
        <w:t xml:space="preserve">e-book usage hours </w:t>
      </w:r>
      <w:r w:rsidR="003A1484">
        <w:rPr>
          <w:rFonts w:ascii="Verdana" w:hAnsi="Verdana"/>
          <w:b w:val="0"/>
          <w:sz w:val="20"/>
        </w:rPr>
        <w:t xml:space="preserve">are </w:t>
      </w:r>
      <w:r w:rsidR="00F0159E">
        <w:rPr>
          <w:rFonts w:ascii="Verdana" w:hAnsi="Verdana"/>
          <w:b w:val="0"/>
          <w:sz w:val="20"/>
        </w:rPr>
        <w:t xml:space="preserve">not </w:t>
      </w:r>
      <w:r w:rsidR="002D0EE8">
        <w:rPr>
          <w:rFonts w:ascii="Verdana" w:hAnsi="Verdana"/>
          <w:b w:val="0"/>
          <w:sz w:val="20"/>
        </w:rPr>
        <w:t>obvious</w:t>
      </w:r>
      <w:r w:rsidR="00211CB7">
        <w:rPr>
          <w:rFonts w:ascii="Verdana" w:hAnsi="Verdana"/>
          <w:b w:val="0"/>
          <w:sz w:val="20"/>
        </w:rPr>
        <w:t>.</w:t>
      </w:r>
    </w:p>
    <w:p w:rsidR="009E0D30" w:rsidRDefault="009E0D30" w:rsidP="00687C8C">
      <w:pPr>
        <w:pStyle w:val="Caption"/>
        <w:jc w:val="center"/>
      </w:pPr>
      <w:bookmarkStart w:id="16" w:name="_Ref482473367"/>
      <w:r>
        <w:rPr>
          <w:noProof/>
          <w:lang w:eastAsia="zh-TW"/>
        </w:rPr>
        <w:drawing>
          <wp:inline distT="0" distB="0" distL="0" distR="0" wp14:anchorId="61DCC0C6" wp14:editId="6FE6425D">
            <wp:extent cx="3704400" cy="26280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28" w:rsidRDefault="00687C8C" w:rsidP="006A15C3">
      <w:pPr>
        <w:pStyle w:val="Caption"/>
        <w:jc w:val="center"/>
      </w:pPr>
      <w:bookmarkStart w:id="17" w:name="_Ref48279792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792E">
        <w:rPr>
          <w:noProof/>
        </w:rPr>
        <w:t>4</w:t>
      </w:r>
      <w:r>
        <w:fldChar w:fldCharType="end"/>
      </w:r>
      <w:bookmarkEnd w:id="16"/>
      <w:bookmarkEnd w:id="17"/>
      <w:r>
        <w:t xml:space="preserve"> </w:t>
      </w:r>
      <w:r w:rsidR="003A1484">
        <w:t xml:space="preserve"> </w:t>
      </w:r>
      <w:r>
        <w:t>E-book users' e-book usage pattern and their first semester mathematics examination GPA scores</w:t>
      </w:r>
    </w:p>
    <w:p w:rsidR="00FC571A" w:rsidRPr="004066C1" w:rsidRDefault="00FC571A" w:rsidP="00FC571A">
      <w:pPr>
        <w:pStyle w:val="Header1"/>
        <w:rPr>
          <w:rFonts w:ascii="Verdana" w:hAnsi="Verdana"/>
        </w:rPr>
      </w:pPr>
      <w:r>
        <w:rPr>
          <w:rFonts w:ascii="Verdana" w:hAnsi="Verdana"/>
        </w:rPr>
        <w:t>4</w:t>
      </w:r>
      <w:r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>Evaluation of e-Packages</w:t>
      </w:r>
    </w:p>
    <w:p w:rsidR="004371F6" w:rsidRPr="00BE0D3E" w:rsidRDefault="007F2B12" w:rsidP="006A7F25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145 students responded </w:t>
      </w:r>
      <w:r w:rsidR="00175C73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the </w:t>
      </w:r>
      <w:r w:rsidR="0005401D">
        <w:rPr>
          <w:rFonts w:ascii="Verdana" w:hAnsi="Verdana"/>
        </w:rPr>
        <w:t xml:space="preserve">e-book </w:t>
      </w:r>
      <w:r>
        <w:rPr>
          <w:rFonts w:ascii="Verdana" w:hAnsi="Verdana"/>
        </w:rPr>
        <w:t>survey and 7</w:t>
      </w:r>
      <w:r w:rsidR="00DA1D59">
        <w:rPr>
          <w:rFonts w:ascii="Verdana" w:hAnsi="Verdana"/>
        </w:rPr>
        <w:t>3</w:t>
      </w:r>
      <w:r>
        <w:rPr>
          <w:rFonts w:ascii="Verdana" w:hAnsi="Verdana"/>
        </w:rPr>
        <w:t xml:space="preserve"> of them reported that they used e-books. </w:t>
      </w:r>
      <w:r w:rsidR="00175C73">
        <w:rPr>
          <w:rFonts w:ascii="Verdana" w:hAnsi="Verdana"/>
        </w:rPr>
        <w:t xml:space="preserve"> </w:t>
      </w:r>
      <w:r>
        <w:rPr>
          <w:rFonts w:ascii="Verdana" w:hAnsi="Verdana"/>
        </w:rPr>
        <w:t>The responses</w:t>
      </w:r>
      <w:r w:rsidR="00A03863">
        <w:rPr>
          <w:rFonts w:ascii="Verdana" w:hAnsi="Verdana"/>
        </w:rPr>
        <w:t xml:space="preserve"> of those e-book users</w:t>
      </w:r>
      <w:r>
        <w:rPr>
          <w:rFonts w:ascii="Verdana" w:hAnsi="Verdana"/>
        </w:rPr>
        <w:t xml:space="preserve"> to the two new questions</w:t>
      </w:r>
      <w:r w:rsidR="00CB1E41">
        <w:rPr>
          <w:rFonts w:ascii="Verdana" w:hAnsi="Verdana"/>
        </w:rPr>
        <w:t xml:space="preserve"> </w:t>
      </w:r>
      <w:r w:rsidR="00DF74A2">
        <w:rPr>
          <w:rFonts w:ascii="Verdana" w:hAnsi="Verdana"/>
        </w:rPr>
        <w:t>concerning the</w:t>
      </w:r>
      <w:r w:rsidR="00CB1E41">
        <w:rPr>
          <w:rFonts w:ascii="Verdana" w:hAnsi="Verdana"/>
        </w:rPr>
        <w:t xml:space="preserve"> </w:t>
      </w:r>
      <w:r w:rsidR="00CF508C">
        <w:rPr>
          <w:rFonts w:ascii="Verdana" w:hAnsi="Verdana"/>
        </w:rPr>
        <w:t xml:space="preserve">usage of </w:t>
      </w:r>
      <w:r w:rsidR="00CB1E41">
        <w:rPr>
          <w:rFonts w:ascii="Verdana" w:hAnsi="Verdana"/>
        </w:rPr>
        <w:t>e-tools</w:t>
      </w:r>
      <w:r w:rsidR="00536657">
        <w:rPr>
          <w:rFonts w:ascii="Verdana" w:hAnsi="Verdana"/>
        </w:rPr>
        <w:t>, embedded in e-books</w:t>
      </w:r>
      <w:r w:rsidR="00CB1E41">
        <w:rPr>
          <w:rFonts w:ascii="Verdana" w:hAnsi="Verdana"/>
        </w:rPr>
        <w:t xml:space="preserve"> and general comments over the e-books</w:t>
      </w:r>
      <w:r w:rsidR="00A03863">
        <w:rPr>
          <w:rFonts w:ascii="Verdana" w:hAnsi="Verdana"/>
        </w:rPr>
        <w:t xml:space="preserve"> </w:t>
      </w:r>
      <w:r w:rsidR="00601541">
        <w:rPr>
          <w:rFonts w:ascii="Verdana" w:hAnsi="Verdana"/>
        </w:rPr>
        <w:t xml:space="preserve">are </w:t>
      </w:r>
      <w:r w:rsidR="004E2BBF" w:rsidRPr="00DD4CE4">
        <w:rPr>
          <w:rFonts w:ascii="Verdana" w:hAnsi="Verdana"/>
        </w:rPr>
        <w:t>plott</w:t>
      </w:r>
      <w:r w:rsidRPr="00DD4CE4">
        <w:rPr>
          <w:rFonts w:ascii="Verdana" w:hAnsi="Verdana"/>
        </w:rPr>
        <w:t xml:space="preserve">ed </w:t>
      </w:r>
      <w:r w:rsidR="00601541" w:rsidRPr="00DD4CE4">
        <w:rPr>
          <w:rFonts w:ascii="Verdana" w:hAnsi="Verdana"/>
        </w:rPr>
        <w:t xml:space="preserve">in </w:t>
      </w:r>
      <w:r w:rsidR="003C149C">
        <w:rPr>
          <w:rFonts w:ascii="Verdana" w:hAnsi="Verdana"/>
        </w:rPr>
        <w:t>Fig.</w:t>
      </w:r>
      <w:r w:rsidR="00DD4CE4" w:rsidRPr="00074082">
        <w:rPr>
          <w:rFonts w:ascii="Verdana" w:hAnsi="Verdana"/>
        </w:rPr>
        <w:fldChar w:fldCharType="begin"/>
      </w:r>
      <w:r w:rsidR="00DD4CE4" w:rsidRPr="00DD4CE4">
        <w:rPr>
          <w:rFonts w:ascii="Verdana" w:hAnsi="Verdana"/>
        </w:rPr>
        <w:instrText xml:space="preserve"> REF _Ref482776144  </w:instrText>
      </w:r>
      <w:r w:rsidR="003C149C">
        <w:rPr>
          <w:rFonts w:ascii="Verdana" w:hAnsi="Verdana"/>
        </w:rPr>
        <w:instrText>\#"0"F</w:instrText>
      </w:r>
      <w:r w:rsidR="00DD4CE4" w:rsidRPr="00DD4CE4">
        <w:rPr>
          <w:rFonts w:ascii="Verdana" w:hAnsi="Verdana"/>
        </w:rPr>
        <w:instrText xml:space="preserve"> </w:instrText>
      </w:r>
      <w:r w:rsidR="00DD4CE4" w:rsidRPr="00074082">
        <w:rPr>
          <w:rFonts w:ascii="Verdana" w:hAnsi="Verdana"/>
        </w:rPr>
        <w:fldChar w:fldCharType="separate"/>
      </w:r>
      <w:proofErr w:type="gramStart"/>
      <w:r w:rsidR="00C3792E">
        <w:rPr>
          <w:rFonts w:ascii="Verdana" w:hAnsi="Verdana"/>
        </w:rPr>
        <w:t>5</w:t>
      </w:r>
      <w:r w:rsidR="00DD4CE4" w:rsidRPr="00074082">
        <w:rPr>
          <w:rFonts w:ascii="Verdana" w:hAnsi="Verdana"/>
        </w:rPr>
        <w:fldChar w:fldCharType="end"/>
      </w:r>
      <w:r w:rsidR="00601541" w:rsidRPr="000747AC">
        <w:rPr>
          <w:rFonts w:ascii="Verdana" w:hAnsi="Verdana"/>
        </w:rPr>
        <w:t xml:space="preserve"> and</w:t>
      </w:r>
      <w:r w:rsidR="00601541" w:rsidRPr="00DD4CE4">
        <w:rPr>
          <w:rFonts w:ascii="Verdana" w:hAnsi="Verdana"/>
        </w:rPr>
        <w:t xml:space="preserve"> </w:t>
      </w:r>
      <w:r w:rsidR="003C149C">
        <w:rPr>
          <w:rFonts w:ascii="Verdana" w:hAnsi="Verdana"/>
        </w:rPr>
        <w:t>Fig.</w:t>
      </w:r>
      <w:proofErr w:type="gramEnd"/>
      <w:r w:rsidR="00DD4CE4" w:rsidRPr="00074082">
        <w:rPr>
          <w:rFonts w:ascii="Verdana" w:hAnsi="Verdana"/>
        </w:rPr>
        <w:fldChar w:fldCharType="begin"/>
      </w:r>
      <w:r w:rsidR="00DD4CE4" w:rsidRPr="00DD4CE4">
        <w:rPr>
          <w:rFonts w:ascii="Verdana" w:hAnsi="Verdana"/>
        </w:rPr>
        <w:instrText xml:space="preserve"> REF _Ref482776156 </w:instrText>
      </w:r>
      <w:r w:rsidR="00DD4CE4">
        <w:rPr>
          <w:rFonts w:ascii="Verdana" w:hAnsi="Verdana"/>
        </w:rPr>
        <w:instrText xml:space="preserve"> \</w:instrText>
      </w:r>
      <w:r w:rsidR="003C149C">
        <w:rPr>
          <w:rFonts w:ascii="Verdana" w:hAnsi="Verdana"/>
        </w:rPr>
        <w:instrText>#"0"</w:instrText>
      </w:r>
      <w:r w:rsidR="00DD4CE4">
        <w:rPr>
          <w:rFonts w:ascii="Verdana" w:hAnsi="Verdana"/>
        </w:rPr>
        <w:instrText xml:space="preserve"> </w:instrText>
      </w:r>
      <w:r w:rsidR="00DD4CE4" w:rsidRPr="00074082">
        <w:rPr>
          <w:rFonts w:ascii="Verdana" w:hAnsi="Verdana"/>
        </w:rPr>
        <w:fldChar w:fldCharType="separate"/>
      </w:r>
      <w:r w:rsidR="00C3792E">
        <w:rPr>
          <w:rFonts w:ascii="Verdana" w:hAnsi="Verdana"/>
        </w:rPr>
        <w:t>6</w:t>
      </w:r>
      <w:r w:rsidR="00DD4CE4" w:rsidRPr="00074082">
        <w:rPr>
          <w:rFonts w:ascii="Verdana" w:hAnsi="Verdana"/>
        </w:rPr>
        <w:fldChar w:fldCharType="end"/>
      </w:r>
      <w:r w:rsidR="00601541">
        <w:rPr>
          <w:rFonts w:ascii="Verdana" w:hAnsi="Verdana"/>
        </w:rPr>
        <w:t>.</w:t>
      </w:r>
      <w:r w:rsidR="001919A0">
        <w:rPr>
          <w:rFonts w:ascii="Verdana" w:hAnsi="Verdana"/>
        </w:rPr>
        <w:t xml:space="preserve"> </w:t>
      </w:r>
      <w:r w:rsidR="00175C73">
        <w:rPr>
          <w:rFonts w:ascii="Verdana" w:hAnsi="Verdana"/>
        </w:rPr>
        <w:t xml:space="preserve"> </w:t>
      </w:r>
      <w:r w:rsidR="004371F6" w:rsidRPr="00BE0D3E">
        <w:rPr>
          <w:rFonts w:ascii="Verdana" w:hAnsi="Verdana"/>
        </w:rPr>
        <w:fldChar w:fldCharType="begin"/>
      </w:r>
      <w:r w:rsidR="004371F6" w:rsidRPr="00BE0D3E">
        <w:rPr>
          <w:rFonts w:ascii="Verdana" w:hAnsi="Verdana"/>
        </w:rPr>
        <w:instrText xml:space="preserve"> REF _Ref482776144 \h  \* MERGEFORMAT </w:instrText>
      </w:r>
      <w:r w:rsidR="004371F6" w:rsidRPr="00BE0D3E">
        <w:rPr>
          <w:rFonts w:ascii="Verdana" w:hAnsi="Verdana"/>
        </w:rPr>
      </w:r>
      <w:r w:rsidR="004371F6" w:rsidRPr="00BE0D3E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Figure </w:t>
      </w:r>
      <w:r w:rsidR="00C3792E" w:rsidRPr="00C3792E">
        <w:rPr>
          <w:rFonts w:ascii="Verdana" w:hAnsi="Verdana"/>
          <w:noProof/>
        </w:rPr>
        <w:t>5</w:t>
      </w:r>
      <w:r w:rsidR="004371F6" w:rsidRPr="00BE0D3E">
        <w:rPr>
          <w:rFonts w:ascii="Verdana" w:hAnsi="Verdana"/>
        </w:rPr>
        <w:fldChar w:fldCharType="end"/>
      </w:r>
      <w:r w:rsidR="004530C8">
        <w:rPr>
          <w:rFonts w:ascii="Verdana" w:hAnsi="Verdana"/>
        </w:rPr>
        <w:t xml:space="preserve"> shows that</w:t>
      </w:r>
      <w:r w:rsidR="004371F6" w:rsidRPr="00BE0D3E">
        <w:rPr>
          <w:rFonts w:ascii="Verdana" w:hAnsi="Verdana"/>
        </w:rPr>
        <w:t xml:space="preserve"> 46.6%, 60.2%, 54.7% and 42.4% of e-book users reported that they had always, often or sometimes used the interactive e-tools</w:t>
      </w:r>
      <w:r w:rsidR="00B96BF9">
        <w:rPr>
          <w:rFonts w:ascii="Verdana" w:hAnsi="Verdana"/>
        </w:rPr>
        <w:t>:</w:t>
      </w:r>
      <w:r w:rsidR="004371F6" w:rsidRPr="00BE0D3E">
        <w:rPr>
          <w:rFonts w:ascii="Verdana" w:hAnsi="Verdana"/>
        </w:rPr>
        <w:t xml:space="preserve"> (a) statistical e-tools, (d) differentiation and integration calculators, (e) graphing e-tool and (g) Gaussian elimination</w:t>
      </w:r>
      <w:r w:rsidR="00B821E1">
        <w:rPr>
          <w:rFonts w:ascii="Verdana" w:hAnsi="Verdana"/>
        </w:rPr>
        <w:t xml:space="preserve"> exercise</w:t>
      </w:r>
      <w:r w:rsidR="004371F6" w:rsidRPr="00BE0D3E">
        <w:rPr>
          <w:rFonts w:ascii="Verdana" w:hAnsi="Verdana"/>
        </w:rPr>
        <w:t xml:space="preserve"> respectively. </w:t>
      </w:r>
      <w:r w:rsidR="00175C73">
        <w:rPr>
          <w:rFonts w:ascii="Verdana" w:hAnsi="Verdana"/>
        </w:rPr>
        <w:t xml:space="preserve"> </w:t>
      </w:r>
      <w:r w:rsidR="004371F6" w:rsidRPr="00BE0D3E">
        <w:rPr>
          <w:rFonts w:ascii="Verdana" w:hAnsi="Verdana"/>
        </w:rPr>
        <w:t xml:space="preserve">The most popular e-tool </w:t>
      </w:r>
      <w:r w:rsidR="00175C73">
        <w:rPr>
          <w:rFonts w:ascii="Verdana" w:hAnsi="Verdana"/>
        </w:rPr>
        <w:t xml:space="preserve">is </w:t>
      </w:r>
      <w:r w:rsidR="004371F6" w:rsidRPr="00BE0D3E">
        <w:rPr>
          <w:rFonts w:ascii="Verdana" w:hAnsi="Verdana"/>
        </w:rPr>
        <w:t xml:space="preserve">differentiation and integration calculators. </w:t>
      </w:r>
      <w:r w:rsidR="00175C73">
        <w:rPr>
          <w:rFonts w:ascii="Verdana" w:hAnsi="Verdana"/>
        </w:rPr>
        <w:t xml:space="preserve"> </w:t>
      </w:r>
      <w:r w:rsidR="004371F6" w:rsidRPr="00BE0D3E">
        <w:rPr>
          <w:rFonts w:ascii="Verdana" w:hAnsi="Verdana"/>
        </w:rPr>
        <w:fldChar w:fldCharType="begin"/>
      </w:r>
      <w:r w:rsidR="004371F6" w:rsidRPr="00BE0D3E">
        <w:rPr>
          <w:rFonts w:ascii="Verdana" w:hAnsi="Verdana"/>
        </w:rPr>
        <w:instrText xml:space="preserve"> REF _Ref482776156 \h  \* MERGEFORMAT </w:instrText>
      </w:r>
      <w:r w:rsidR="004371F6" w:rsidRPr="00BE0D3E">
        <w:rPr>
          <w:rFonts w:ascii="Verdana" w:hAnsi="Verdana"/>
        </w:rPr>
      </w:r>
      <w:r w:rsidR="004371F6" w:rsidRPr="00BE0D3E">
        <w:rPr>
          <w:rFonts w:ascii="Verdana" w:hAnsi="Verdana"/>
        </w:rPr>
        <w:fldChar w:fldCharType="separate"/>
      </w:r>
      <w:r w:rsidR="00C3792E" w:rsidRPr="00C3792E">
        <w:rPr>
          <w:rFonts w:ascii="Verdana" w:hAnsi="Verdana"/>
        </w:rPr>
        <w:t xml:space="preserve">Figure </w:t>
      </w:r>
      <w:r w:rsidR="00C3792E" w:rsidRPr="00C3792E">
        <w:rPr>
          <w:rFonts w:ascii="Verdana" w:hAnsi="Verdana"/>
          <w:noProof/>
        </w:rPr>
        <w:t>6</w:t>
      </w:r>
      <w:r w:rsidR="004371F6" w:rsidRPr="00BE0D3E">
        <w:rPr>
          <w:rFonts w:ascii="Verdana" w:hAnsi="Verdana"/>
        </w:rPr>
        <w:fldChar w:fldCharType="end"/>
      </w:r>
      <w:r w:rsidR="004371F6" w:rsidRPr="00BE0D3E">
        <w:rPr>
          <w:rFonts w:ascii="Verdana" w:hAnsi="Verdana"/>
        </w:rPr>
        <w:t xml:space="preserve"> shows that the students’ feedback over the e-books </w:t>
      </w:r>
      <w:r w:rsidR="00F5408F">
        <w:rPr>
          <w:rFonts w:ascii="Verdana" w:hAnsi="Verdana"/>
        </w:rPr>
        <w:t>is</w:t>
      </w:r>
      <w:r w:rsidR="004371F6" w:rsidRPr="00BE0D3E">
        <w:rPr>
          <w:rFonts w:ascii="Verdana" w:hAnsi="Verdana"/>
        </w:rPr>
        <w:t xml:space="preserve"> quite positive. </w:t>
      </w:r>
      <w:r w:rsidR="00175C73">
        <w:rPr>
          <w:rFonts w:ascii="Verdana" w:hAnsi="Verdana"/>
        </w:rPr>
        <w:t xml:space="preserve"> </w:t>
      </w:r>
      <w:r w:rsidR="004371F6" w:rsidRPr="00BE0D3E">
        <w:rPr>
          <w:rFonts w:ascii="Verdana" w:hAnsi="Verdana"/>
        </w:rPr>
        <w:t xml:space="preserve">23 students made suggestions to the e-books. </w:t>
      </w:r>
      <w:r w:rsidR="00175C73">
        <w:rPr>
          <w:rFonts w:ascii="Verdana" w:hAnsi="Verdana"/>
        </w:rPr>
        <w:t xml:space="preserve"> </w:t>
      </w:r>
      <w:r w:rsidR="004371F6" w:rsidRPr="00BE0D3E">
        <w:rPr>
          <w:rFonts w:ascii="Verdana" w:hAnsi="Verdana"/>
        </w:rPr>
        <w:t>In particular, 9 of them would like to have more exercises in the e-books for self-study.</w:t>
      </w:r>
      <w:r w:rsidR="003C149C" w:rsidRPr="00BE0D3E">
        <w:rPr>
          <w:rFonts w:ascii="Verdana" w:hAnsi="Verdana"/>
        </w:rPr>
        <w:t xml:space="preserve"> </w:t>
      </w:r>
    </w:p>
    <w:tbl>
      <w:tblPr>
        <w:tblStyle w:val="TableGrid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  <w:gridCol w:w="3928"/>
      </w:tblGrid>
      <w:tr w:rsidR="00A97E07" w:rsidTr="006A7F25">
        <w:trPr>
          <w:trHeight w:hRule="exact" w:val="3159"/>
        </w:trPr>
        <w:tc>
          <w:tcPr>
            <w:tcW w:w="5348" w:type="dxa"/>
          </w:tcPr>
          <w:p w:rsidR="00A97E07" w:rsidRDefault="00DA1D59" w:rsidP="000F0FF2">
            <w:r>
              <w:rPr>
                <w:noProof/>
                <w:lang w:eastAsia="zh-TW"/>
              </w:rPr>
              <w:drawing>
                <wp:inline distT="0" distB="0" distL="0" distR="0" wp14:anchorId="18CCB469" wp14:editId="0031E036">
                  <wp:extent cx="3054350" cy="1949450"/>
                  <wp:effectExtent l="0" t="0" r="12700" b="1270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928" w:type="dxa"/>
          </w:tcPr>
          <w:p w:rsidR="00A97E07" w:rsidRDefault="003A1484" w:rsidP="00A97E07">
            <w:r>
              <w:rPr>
                <w:noProof/>
                <w:lang w:eastAsia="zh-TW"/>
              </w:rPr>
              <w:drawing>
                <wp:anchor distT="0" distB="0" distL="114300" distR="114300" simplePos="0" relativeHeight="251674112" behindDoc="0" locked="0" layoutInCell="1" allowOverlap="1" wp14:anchorId="3642066E" wp14:editId="1DFD875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2540</wp:posOffset>
                  </wp:positionV>
                  <wp:extent cx="2178050" cy="1898650"/>
                  <wp:effectExtent l="0" t="0" r="12700" b="6350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7E07" w:rsidRPr="001545E9" w:rsidTr="006A7F25">
        <w:trPr>
          <w:trHeight w:val="910"/>
        </w:trPr>
        <w:tc>
          <w:tcPr>
            <w:tcW w:w="5348" w:type="dxa"/>
          </w:tcPr>
          <w:p w:rsidR="00A97E07" w:rsidRPr="00F6315E" w:rsidRDefault="00CF508C" w:rsidP="001545E9">
            <w:pPr>
              <w:pStyle w:val="Caption"/>
              <w:jc w:val="center"/>
              <w:rPr>
                <w:noProof/>
                <w:sz w:val="18"/>
              </w:rPr>
            </w:pPr>
            <w:bookmarkStart w:id="18" w:name="_Ref482776144"/>
            <w:r w:rsidRPr="00F6315E">
              <w:rPr>
                <w:sz w:val="18"/>
              </w:rPr>
              <w:t xml:space="preserve">Figure </w:t>
            </w:r>
            <w:r w:rsidRPr="00F6315E">
              <w:rPr>
                <w:sz w:val="18"/>
              </w:rPr>
              <w:fldChar w:fldCharType="begin"/>
            </w:r>
            <w:r w:rsidRPr="00F6315E">
              <w:rPr>
                <w:sz w:val="18"/>
              </w:rPr>
              <w:instrText xml:space="preserve"> SEQ Figure \* ARABIC </w:instrText>
            </w:r>
            <w:r w:rsidRPr="00F6315E">
              <w:rPr>
                <w:sz w:val="18"/>
              </w:rPr>
              <w:fldChar w:fldCharType="separate"/>
            </w:r>
            <w:r w:rsidR="00C3792E">
              <w:rPr>
                <w:noProof/>
                <w:sz w:val="18"/>
              </w:rPr>
              <w:t>5</w:t>
            </w:r>
            <w:r w:rsidRPr="00F6315E">
              <w:rPr>
                <w:sz w:val="18"/>
              </w:rPr>
              <w:fldChar w:fldCharType="end"/>
            </w:r>
            <w:bookmarkEnd w:id="18"/>
            <w:r w:rsidR="00A97E07" w:rsidRPr="00F6315E">
              <w:rPr>
                <w:noProof/>
                <w:sz w:val="18"/>
              </w:rPr>
              <w:t xml:space="preserve"> </w:t>
            </w:r>
            <w:r w:rsidR="003A1484">
              <w:rPr>
                <w:noProof/>
                <w:sz w:val="18"/>
              </w:rPr>
              <w:t xml:space="preserve"> </w:t>
            </w:r>
            <w:r w:rsidR="00A97E07" w:rsidRPr="00F6315E">
              <w:rPr>
                <w:noProof/>
                <w:sz w:val="18"/>
              </w:rPr>
              <w:t xml:space="preserve">Students’ usage of (a) statistical e-tools, (b) statistics formulas, (c) statistical distribution tables, (d) differentation and integration calculators, (e) graphing e-tool, (f) calculus formulas and </w:t>
            </w:r>
            <w:r w:rsidR="002377FB" w:rsidRPr="00F6315E">
              <w:rPr>
                <w:noProof/>
                <w:sz w:val="18"/>
              </w:rPr>
              <w:t>(g)</w:t>
            </w:r>
            <w:r w:rsidR="00CC0143">
              <w:rPr>
                <w:noProof/>
                <w:sz w:val="18"/>
              </w:rPr>
              <w:t xml:space="preserve"> </w:t>
            </w:r>
            <w:r w:rsidR="001545E9" w:rsidRPr="00F6315E">
              <w:rPr>
                <w:noProof/>
                <w:sz w:val="18"/>
              </w:rPr>
              <w:t>G</w:t>
            </w:r>
            <w:r w:rsidR="002377FB" w:rsidRPr="00F6315E">
              <w:rPr>
                <w:noProof/>
                <w:sz w:val="18"/>
              </w:rPr>
              <w:t>aussian elimination exercise</w:t>
            </w:r>
          </w:p>
        </w:tc>
        <w:tc>
          <w:tcPr>
            <w:tcW w:w="3928" w:type="dxa"/>
          </w:tcPr>
          <w:p w:rsidR="00A97E07" w:rsidRPr="00F6315E" w:rsidRDefault="00CF508C" w:rsidP="00CF508C">
            <w:pPr>
              <w:keepNext/>
              <w:jc w:val="center"/>
              <w:rPr>
                <w:rFonts w:ascii="Verdana" w:hAnsi="Verdana"/>
                <w:sz w:val="18"/>
                <w:szCs w:val="18"/>
              </w:rPr>
            </w:pPr>
            <w:bookmarkStart w:id="19" w:name="_Ref482776156"/>
            <w:r w:rsidRPr="00F6315E">
              <w:rPr>
                <w:rFonts w:ascii="Verdana" w:hAnsi="Verdana"/>
                <w:sz w:val="18"/>
                <w:szCs w:val="18"/>
              </w:rPr>
              <w:t xml:space="preserve">Figure </w:t>
            </w:r>
            <w:r w:rsidRPr="00F6315E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F6315E">
              <w:rPr>
                <w:rFonts w:ascii="Verdana" w:hAnsi="Verdana"/>
                <w:sz w:val="18"/>
                <w:szCs w:val="18"/>
              </w:rPr>
              <w:instrText xml:space="preserve"> SEQ Figure \* ARABIC </w:instrText>
            </w:r>
            <w:r w:rsidRPr="00F6315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3792E">
              <w:rPr>
                <w:rFonts w:ascii="Verdana" w:hAnsi="Verdana"/>
                <w:noProof/>
                <w:sz w:val="18"/>
                <w:szCs w:val="18"/>
              </w:rPr>
              <w:t>6</w:t>
            </w:r>
            <w:r w:rsidRPr="00F6315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F6315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97E07" w:rsidRPr="00F6315E">
              <w:rPr>
                <w:rFonts w:ascii="Verdana" w:hAnsi="Verdana"/>
                <w:noProof/>
                <w:sz w:val="18"/>
                <w:szCs w:val="18"/>
              </w:rPr>
              <w:t>Students’ comments on (a) abundant learning material, (b) appropriate level of materials for their study, (c) adequate exercise and (d) adequate explanation</w:t>
            </w:r>
          </w:p>
        </w:tc>
      </w:tr>
    </w:tbl>
    <w:p w:rsidR="00B470E4" w:rsidRPr="006A7F25" w:rsidRDefault="00B470E4" w:rsidP="00E7337A">
      <w:pPr>
        <w:pStyle w:val="Header1"/>
        <w:rPr>
          <w:rFonts w:ascii="Verdana" w:hAnsi="Verdana"/>
          <w:b w:val="0"/>
        </w:rPr>
      </w:pPr>
    </w:p>
    <w:p w:rsidR="00E7337A" w:rsidRPr="004066C1" w:rsidRDefault="00FC571A" w:rsidP="00E7337A">
      <w:pPr>
        <w:pStyle w:val="Header1"/>
        <w:rPr>
          <w:rFonts w:ascii="Verdana" w:hAnsi="Verdana"/>
        </w:rPr>
      </w:pPr>
      <w:r>
        <w:rPr>
          <w:rFonts w:ascii="Verdana" w:hAnsi="Verdana"/>
        </w:rPr>
        <w:t>5</w:t>
      </w:r>
      <w:r w:rsidR="00E7337A" w:rsidRPr="004066C1">
        <w:rPr>
          <w:rFonts w:ascii="Verdana" w:hAnsi="Verdana"/>
        </w:rPr>
        <w:t xml:space="preserve">. </w:t>
      </w:r>
      <w:r>
        <w:rPr>
          <w:rFonts w:ascii="Verdana" w:hAnsi="Verdana"/>
        </w:rPr>
        <w:t>Conclusion</w:t>
      </w:r>
    </w:p>
    <w:p w:rsidR="008F56B8" w:rsidRDefault="00692C99" w:rsidP="006A7F25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The pre- and post-DTs results showed that students</w:t>
      </w:r>
      <w:r w:rsidR="002C4587">
        <w:rPr>
          <w:rFonts w:ascii="Verdana" w:hAnsi="Verdana"/>
        </w:rPr>
        <w:t xml:space="preserve">’ mathematics competencies </w:t>
      </w:r>
      <w:r w:rsidR="003A1484">
        <w:rPr>
          <w:rFonts w:ascii="Verdana" w:hAnsi="Verdana"/>
        </w:rPr>
        <w:t xml:space="preserve">are </w:t>
      </w:r>
      <w:r>
        <w:rPr>
          <w:rFonts w:ascii="Verdana" w:hAnsi="Verdana"/>
        </w:rPr>
        <w:t xml:space="preserve">statistically significantly improved in the semester. </w:t>
      </w:r>
      <w:r w:rsidR="003A1484">
        <w:rPr>
          <w:rFonts w:ascii="Verdana" w:hAnsi="Verdana"/>
        </w:rPr>
        <w:t xml:space="preserve"> </w:t>
      </w:r>
      <w:r>
        <w:rPr>
          <w:rFonts w:ascii="Verdana" w:hAnsi="Verdana"/>
        </w:rPr>
        <w:t>This indicate</w:t>
      </w:r>
      <w:r w:rsidR="003A1484">
        <w:rPr>
          <w:rFonts w:ascii="Verdana" w:hAnsi="Verdana"/>
        </w:rPr>
        <w:t>s</w:t>
      </w:r>
      <w:r>
        <w:rPr>
          <w:rFonts w:ascii="Verdana" w:hAnsi="Verdana"/>
        </w:rPr>
        <w:t xml:space="preserve"> that the current mathematics teaching</w:t>
      </w:r>
      <w:r w:rsidR="00B374E3">
        <w:rPr>
          <w:rFonts w:ascii="Verdana" w:hAnsi="Verdana"/>
        </w:rPr>
        <w:t xml:space="preserve"> by AMA</w:t>
      </w:r>
      <w:r w:rsidR="00BB13E5">
        <w:rPr>
          <w:rFonts w:ascii="Verdana" w:hAnsi="Verdana"/>
        </w:rPr>
        <w:t>,</w:t>
      </w:r>
      <w:r>
        <w:rPr>
          <w:rFonts w:ascii="Verdana" w:hAnsi="Verdana"/>
        </w:rPr>
        <w:t xml:space="preserve"> together with outside classroom support, </w:t>
      </w:r>
      <w:r w:rsidR="00E50428">
        <w:rPr>
          <w:rFonts w:ascii="Verdana" w:hAnsi="Verdana"/>
        </w:rPr>
        <w:t>including</w:t>
      </w:r>
      <w:r>
        <w:rPr>
          <w:rFonts w:ascii="Verdana" w:hAnsi="Verdana"/>
        </w:rPr>
        <w:t xml:space="preserve"> e-learning support </w:t>
      </w:r>
      <w:r w:rsidR="003A1484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effective. </w:t>
      </w:r>
      <w:r w:rsidR="003A1484">
        <w:rPr>
          <w:rFonts w:ascii="Verdana" w:hAnsi="Verdana"/>
        </w:rPr>
        <w:t xml:space="preserve"> </w:t>
      </w:r>
      <w:r w:rsidR="008F56B8">
        <w:rPr>
          <w:rFonts w:ascii="Verdana" w:hAnsi="Verdana"/>
        </w:rPr>
        <w:t xml:space="preserve">For evaluation of </w:t>
      </w:r>
      <w:r w:rsidR="00F6767F">
        <w:rPr>
          <w:rFonts w:ascii="Verdana" w:hAnsi="Verdana"/>
        </w:rPr>
        <w:t xml:space="preserve">effectiveness of blended learning mode, </w:t>
      </w:r>
      <w:r w:rsidR="008F56B8">
        <w:rPr>
          <w:rFonts w:ascii="Verdana" w:hAnsi="Verdana"/>
        </w:rPr>
        <w:t>d</w:t>
      </w:r>
      <w:r w:rsidR="00F6767F">
        <w:rPr>
          <w:rFonts w:ascii="Verdana" w:hAnsi="Verdana"/>
        </w:rPr>
        <w:t>ata</w:t>
      </w:r>
      <w:r w:rsidR="008F56B8">
        <w:rPr>
          <w:rFonts w:ascii="Verdana" w:hAnsi="Verdana"/>
        </w:rPr>
        <w:t xml:space="preserve"> </w:t>
      </w:r>
      <w:r w:rsidR="00F6767F">
        <w:rPr>
          <w:rFonts w:ascii="Verdana" w:hAnsi="Verdana"/>
        </w:rPr>
        <w:t>show that e-book users</w:t>
      </w:r>
      <w:r w:rsidR="00457624">
        <w:rPr>
          <w:rFonts w:ascii="Verdana" w:hAnsi="Verdana"/>
        </w:rPr>
        <w:t xml:space="preserve"> tend to have better post-test results, as well as higher GPA than non-e-book users. </w:t>
      </w:r>
      <w:r w:rsidR="003A1484">
        <w:rPr>
          <w:rFonts w:ascii="Verdana" w:hAnsi="Verdana"/>
        </w:rPr>
        <w:t xml:space="preserve"> </w:t>
      </w:r>
      <w:r w:rsidR="00F6767F">
        <w:rPr>
          <w:rFonts w:ascii="Verdana" w:hAnsi="Verdana"/>
        </w:rPr>
        <w:t>In particular, e-book</w:t>
      </w:r>
      <w:r w:rsidR="003A1484">
        <w:rPr>
          <w:rFonts w:ascii="Verdana" w:hAnsi="Verdana"/>
        </w:rPr>
        <w:t xml:space="preserve"> </w:t>
      </w:r>
      <w:r w:rsidR="00F6767F">
        <w:rPr>
          <w:rFonts w:ascii="Verdana" w:hAnsi="Verdana"/>
        </w:rPr>
        <w:t xml:space="preserve">users improve their integral calculus </w:t>
      </w:r>
      <w:r w:rsidR="003A1484">
        <w:rPr>
          <w:rFonts w:ascii="Verdana" w:hAnsi="Verdana"/>
        </w:rPr>
        <w:t xml:space="preserve">to a </w:t>
      </w:r>
      <w:r w:rsidR="00A260F0">
        <w:rPr>
          <w:rFonts w:ascii="Verdana" w:hAnsi="Verdana"/>
        </w:rPr>
        <w:t xml:space="preserve">more </w:t>
      </w:r>
      <w:r w:rsidR="00F6767F">
        <w:rPr>
          <w:rFonts w:ascii="Verdana" w:hAnsi="Verdana"/>
        </w:rPr>
        <w:t>sign</w:t>
      </w:r>
      <w:r w:rsidR="00A260F0">
        <w:rPr>
          <w:rFonts w:ascii="Verdana" w:hAnsi="Verdana"/>
        </w:rPr>
        <w:t>ificant extent</w:t>
      </w:r>
      <w:r w:rsidR="00F6767F">
        <w:rPr>
          <w:rFonts w:ascii="Verdana" w:hAnsi="Verdana"/>
        </w:rPr>
        <w:t xml:space="preserve"> than the non-e-book users</w:t>
      </w:r>
      <w:r w:rsidR="00AD68E8">
        <w:rPr>
          <w:rFonts w:ascii="Verdana" w:hAnsi="Verdana"/>
        </w:rPr>
        <w:t xml:space="preserve"> in the </w:t>
      </w:r>
      <w:r w:rsidR="006F0A30">
        <w:rPr>
          <w:rFonts w:ascii="Verdana" w:hAnsi="Verdana"/>
        </w:rPr>
        <w:t>AC</w:t>
      </w:r>
      <w:r w:rsidR="00AD68E8">
        <w:rPr>
          <w:rFonts w:ascii="Verdana" w:hAnsi="Verdana"/>
        </w:rPr>
        <w:t xml:space="preserve"> test group.</w:t>
      </w:r>
    </w:p>
    <w:p w:rsidR="008F56B8" w:rsidRPr="00960CCB" w:rsidRDefault="00457624" w:rsidP="006A7F25">
      <w:pPr>
        <w:pStyle w:val="Body"/>
        <w:snapToGrid w:val="0"/>
        <w:spacing w:line="240" w:lineRule="auto"/>
        <w:rPr>
          <w:rFonts w:ascii="Verdana" w:hAnsi="Verdana"/>
        </w:rPr>
      </w:pPr>
      <w:r>
        <w:rPr>
          <w:rFonts w:ascii="Verdana" w:hAnsi="Verdana"/>
        </w:rPr>
        <w:t>E-books survey revealed that a</w:t>
      </w:r>
      <w:r w:rsidR="003E6A54">
        <w:rPr>
          <w:rFonts w:ascii="Verdana" w:hAnsi="Verdana"/>
        </w:rPr>
        <w:t>bout</w:t>
      </w:r>
      <w:r>
        <w:rPr>
          <w:rFonts w:ascii="Verdana" w:hAnsi="Verdana"/>
        </w:rPr>
        <w:t xml:space="preserve"> half of the respondents did not use e-books. </w:t>
      </w:r>
      <w:r w:rsidR="003A1484">
        <w:rPr>
          <w:rFonts w:ascii="Verdana" w:hAnsi="Verdana"/>
        </w:rPr>
        <w:t xml:space="preserve"> </w:t>
      </w:r>
      <w:r>
        <w:rPr>
          <w:rFonts w:ascii="Verdana" w:hAnsi="Verdana"/>
        </w:rPr>
        <w:t>Promotion of e-books is required, in particular, the e-tools, which are useful to the independent learners.</w:t>
      </w:r>
      <w:r w:rsidR="00B02417">
        <w:rPr>
          <w:rFonts w:ascii="Verdana" w:hAnsi="Verdana"/>
        </w:rPr>
        <w:t xml:space="preserve"> </w:t>
      </w:r>
      <w:r w:rsidR="003A1484">
        <w:rPr>
          <w:rFonts w:ascii="Verdana" w:hAnsi="Verdana"/>
        </w:rPr>
        <w:t xml:space="preserve"> </w:t>
      </w:r>
      <w:r w:rsidR="004304DB">
        <w:rPr>
          <w:rFonts w:ascii="Verdana" w:hAnsi="Verdana"/>
        </w:rPr>
        <w:t>In addition, a</w:t>
      </w:r>
      <w:r w:rsidR="00B02417">
        <w:rPr>
          <w:rFonts w:ascii="Verdana" w:hAnsi="Verdana"/>
        </w:rPr>
        <w:t xml:space="preserve">dding more exercises to </w:t>
      </w:r>
      <w:r w:rsidR="003A1484">
        <w:rPr>
          <w:rFonts w:ascii="Verdana" w:hAnsi="Verdana"/>
        </w:rPr>
        <w:t xml:space="preserve">the </w:t>
      </w:r>
      <w:r w:rsidR="00B02417">
        <w:rPr>
          <w:rFonts w:ascii="Verdana" w:hAnsi="Verdana"/>
        </w:rPr>
        <w:t xml:space="preserve">e-books </w:t>
      </w:r>
      <w:r w:rsidR="003A1484">
        <w:rPr>
          <w:rFonts w:ascii="Verdana" w:hAnsi="Verdana"/>
        </w:rPr>
        <w:t xml:space="preserve">is </w:t>
      </w:r>
      <w:r w:rsidR="00B02417">
        <w:rPr>
          <w:rFonts w:ascii="Verdana" w:hAnsi="Verdana"/>
        </w:rPr>
        <w:t xml:space="preserve">the general suggestion </w:t>
      </w:r>
      <w:r w:rsidR="00B56F0D">
        <w:rPr>
          <w:rFonts w:ascii="Verdana" w:hAnsi="Verdana"/>
        </w:rPr>
        <w:t xml:space="preserve">made </w:t>
      </w:r>
      <w:r w:rsidR="00E678D6">
        <w:rPr>
          <w:rFonts w:ascii="Verdana" w:hAnsi="Verdana"/>
        </w:rPr>
        <w:t>by</w:t>
      </w:r>
      <w:r w:rsidR="00B02417">
        <w:rPr>
          <w:rFonts w:ascii="Verdana" w:hAnsi="Verdana"/>
        </w:rPr>
        <w:t xml:space="preserve"> students.</w:t>
      </w:r>
      <w:r w:rsidR="003A1484">
        <w:rPr>
          <w:rFonts w:ascii="Verdana" w:hAnsi="Verdana"/>
        </w:rPr>
        <w:t xml:space="preserve">  With t</w:t>
      </w:r>
      <w:r w:rsidR="00F20096">
        <w:rPr>
          <w:rFonts w:ascii="Verdana" w:hAnsi="Verdana"/>
        </w:rPr>
        <w:t xml:space="preserve">he </w:t>
      </w:r>
      <w:r w:rsidR="003A1484">
        <w:rPr>
          <w:rFonts w:ascii="Verdana" w:hAnsi="Verdana"/>
        </w:rPr>
        <w:t xml:space="preserve">small </w:t>
      </w:r>
      <w:r w:rsidR="00F20096">
        <w:rPr>
          <w:rFonts w:ascii="Verdana" w:hAnsi="Verdana"/>
        </w:rPr>
        <w:t>sample size</w:t>
      </w:r>
      <w:r w:rsidR="003A1484">
        <w:rPr>
          <w:rFonts w:ascii="Verdana" w:hAnsi="Verdana"/>
        </w:rPr>
        <w:t xml:space="preserve">, also containing </w:t>
      </w:r>
      <w:r w:rsidR="00EF4819">
        <w:rPr>
          <w:rFonts w:ascii="Verdana" w:hAnsi="Verdana"/>
        </w:rPr>
        <w:t>poor</w:t>
      </w:r>
      <w:r w:rsidR="008F56B8">
        <w:rPr>
          <w:rFonts w:ascii="Verdana" w:hAnsi="Verdana"/>
        </w:rPr>
        <w:t xml:space="preserve"> learners</w:t>
      </w:r>
      <w:r w:rsidR="003A1484">
        <w:rPr>
          <w:rFonts w:ascii="Verdana" w:hAnsi="Verdana"/>
        </w:rPr>
        <w:t xml:space="preserve">, it </w:t>
      </w:r>
      <w:r w:rsidR="008F56B8">
        <w:rPr>
          <w:rFonts w:ascii="Verdana" w:hAnsi="Verdana"/>
        </w:rPr>
        <w:t>would be better that the e-assessment</w:t>
      </w:r>
      <w:r w:rsidR="003A1484">
        <w:rPr>
          <w:rFonts w:ascii="Verdana" w:hAnsi="Verdana"/>
        </w:rPr>
        <w:t>s</w:t>
      </w:r>
      <w:r w:rsidR="008F56B8">
        <w:rPr>
          <w:rFonts w:ascii="Verdana" w:hAnsi="Verdana"/>
        </w:rPr>
        <w:t xml:space="preserve"> </w:t>
      </w:r>
      <w:r w:rsidR="003A1484">
        <w:rPr>
          <w:rFonts w:ascii="Verdana" w:hAnsi="Verdana"/>
        </w:rPr>
        <w:t xml:space="preserve">are </w:t>
      </w:r>
      <w:r w:rsidR="008F56B8">
        <w:rPr>
          <w:rFonts w:ascii="Verdana" w:hAnsi="Verdana"/>
        </w:rPr>
        <w:t xml:space="preserve">conducted </w:t>
      </w:r>
      <w:r w:rsidR="003A1484">
        <w:rPr>
          <w:rFonts w:ascii="Verdana" w:hAnsi="Verdana"/>
        </w:rPr>
        <w:t xml:space="preserve">mandatorily </w:t>
      </w:r>
      <w:r w:rsidR="008F56B8">
        <w:rPr>
          <w:rFonts w:ascii="Verdana" w:hAnsi="Verdana"/>
        </w:rPr>
        <w:t>under invigilation in order to get the full evaluation of e-support to students.</w:t>
      </w:r>
    </w:p>
    <w:p w:rsidR="00C45D29" w:rsidRPr="00960CCB" w:rsidRDefault="00C45D29" w:rsidP="00C45D29">
      <w:pPr>
        <w:pStyle w:val="HeaderAbs"/>
        <w:spacing w:after="120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caps w:val="0"/>
          <w:szCs w:val="24"/>
          <w:lang w:val="en-GB"/>
        </w:rPr>
        <w:t>Acknowledgement</w:t>
      </w:r>
    </w:p>
    <w:p w:rsidR="00594696" w:rsidRPr="00960CCB" w:rsidRDefault="00C94575" w:rsidP="006A7F25">
      <w:pPr>
        <w:pStyle w:val="Body"/>
        <w:snapToGrid w:val="0"/>
        <w:spacing w:line="240" w:lineRule="auto"/>
        <w:rPr>
          <w:rFonts w:ascii="Verdana" w:hAnsi="Verdana"/>
        </w:rPr>
      </w:pPr>
      <w:r w:rsidRPr="00C94575">
        <w:rPr>
          <w:rFonts w:ascii="Verdana" w:hAnsi="Verdana"/>
        </w:rPr>
        <w:t xml:space="preserve">This project was partially funded by a grant from The Hong Kong Polytechnic University (Grant No. LTG12-15/420G). </w:t>
      </w:r>
      <w:r w:rsidR="00A2405A">
        <w:rPr>
          <w:rFonts w:ascii="Verdana" w:hAnsi="Verdana"/>
        </w:rPr>
        <w:t xml:space="preserve"> </w:t>
      </w:r>
      <w:r w:rsidRPr="00C94575">
        <w:rPr>
          <w:rFonts w:ascii="Verdana" w:hAnsi="Verdana"/>
        </w:rPr>
        <w:t>We thank Miss Luo Xin</w:t>
      </w:r>
      <w:r w:rsidR="00FC6EBE">
        <w:rPr>
          <w:rFonts w:ascii="Verdana" w:hAnsi="Verdana"/>
        </w:rPr>
        <w:t>,</w:t>
      </w:r>
      <w:r w:rsidRPr="00C94575">
        <w:rPr>
          <w:rFonts w:ascii="Verdana" w:hAnsi="Verdana"/>
        </w:rPr>
        <w:t xml:space="preserve"> Tracy for her assistance in the e-package evaluation survey.</w:t>
      </w:r>
    </w:p>
    <w:p w:rsidR="004066C1" w:rsidRPr="00960CCB" w:rsidRDefault="004066C1" w:rsidP="00012D75">
      <w:pPr>
        <w:pStyle w:val="HeaderAbs"/>
        <w:spacing w:after="120"/>
        <w:rPr>
          <w:rFonts w:ascii="Verdana" w:hAnsi="Verdana" w:cs="Arial"/>
          <w:szCs w:val="24"/>
          <w:lang w:val="en-GB"/>
        </w:rPr>
      </w:pPr>
      <w:r w:rsidRPr="00960CCB">
        <w:rPr>
          <w:rFonts w:ascii="Verdana" w:hAnsi="Verdana" w:cs="Arial"/>
          <w:caps w:val="0"/>
          <w:szCs w:val="24"/>
          <w:lang w:val="en-GB"/>
        </w:rPr>
        <w:t>References</w:t>
      </w:r>
      <w:bookmarkEnd w:id="0"/>
    </w:p>
    <w:p w:rsidR="00F1248A" w:rsidRDefault="00F1248A" w:rsidP="006A7F25">
      <w:pPr>
        <w:pStyle w:val="Reference"/>
        <w:numPr>
          <w:ilvl w:val="0"/>
          <w:numId w:val="0"/>
        </w:numPr>
        <w:spacing w:after="120"/>
        <w:ind w:left="360" w:hanging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Gay, L.R., Mills, G.E. and </w:t>
      </w:r>
      <w:proofErr w:type="spellStart"/>
      <w:r>
        <w:rPr>
          <w:rFonts w:ascii="Verdana" w:hAnsi="Verdana" w:cs="Arial"/>
          <w:sz w:val="20"/>
        </w:rPr>
        <w:t>Airasian</w:t>
      </w:r>
      <w:proofErr w:type="spellEnd"/>
      <w:r>
        <w:rPr>
          <w:rFonts w:ascii="Verdana" w:hAnsi="Verdana" w:cs="Arial"/>
          <w:sz w:val="20"/>
        </w:rPr>
        <w:t xml:space="preserve">, P. (2009) </w:t>
      </w:r>
      <w:r w:rsidRPr="00F1248A">
        <w:rPr>
          <w:rFonts w:ascii="Verdana" w:hAnsi="Verdana" w:cs="Arial"/>
          <w:i/>
          <w:sz w:val="20"/>
        </w:rPr>
        <w:t>Educational Research: Competencies for Analysis and Applications</w:t>
      </w:r>
      <w:r>
        <w:rPr>
          <w:rFonts w:ascii="Verdana" w:hAnsi="Verdana" w:cs="Arial"/>
          <w:sz w:val="20"/>
        </w:rPr>
        <w:t>. Ninth Edition, Pearson Education.</w:t>
      </w:r>
    </w:p>
    <w:p w:rsidR="00C0178B" w:rsidRDefault="00C0178B" w:rsidP="006A7F25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Hoic-Bozic</w:t>
      </w:r>
      <w:proofErr w:type="spellEnd"/>
      <w:r>
        <w:rPr>
          <w:rFonts w:ascii="Verdana" w:hAnsi="Verdana" w:cs="Arial"/>
          <w:sz w:val="20"/>
        </w:rPr>
        <w:t xml:space="preserve">, N., </w:t>
      </w:r>
      <w:proofErr w:type="spellStart"/>
      <w:r>
        <w:rPr>
          <w:rFonts w:ascii="Verdana" w:hAnsi="Verdana" w:cs="Arial"/>
          <w:sz w:val="20"/>
        </w:rPr>
        <w:t>Mornar</w:t>
      </w:r>
      <w:proofErr w:type="spellEnd"/>
      <w:r>
        <w:rPr>
          <w:rFonts w:ascii="Verdana" w:hAnsi="Verdana" w:cs="Arial"/>
          <w:sz w:val="20"/>
        </w:rPr>
        <w:t xml:space="preserve">, V. and </w:t>
      </w:r>
      <w:proofErr w:type="spellStart"/>
      <w:r>
        <w:rPr>
          <w:rFonts w:ascii="Verdana" w:hAnsi="Verdana" w:cs="Arial"/>
          <w:sz w:val="20"/>
        </w:rPr>
        <w:t>Boticki</w:t>
      </w:r>
      <w:proofErr w:type="spellEnd"/>
      <w:r>
        <w:rPr>
          <w:rFonts w:ascii="Verdana" w:hAnsi="Verdana" w:cs="Arial"/>
          <w:sz w:val="20"/>
        </w:rPr>
        <w:t xml:space="preserve">, I. (2009) “A blended learning approach to course design and implementation”, </w:t>
      </w:r>
      <w:r w:rsidRPr="00C0178B">
        <w:rPr>
          <w:rFonts w:ascii="Verdana" w:hAnsi="Verdana" w:cs="Arial"/>
          <w:i/>
          <w:sz w:val="20"/>
        </w:rPr>
        <w:t>IEEE Transactions on Education</w:t>
      </w:r>
      <w:r>
        <w:rPr>
          <w:rFonts w:ascii="Verdana" w:hAnsi="Verdana" w:cs="Arial"/>
          <w:sz w:val="20"/>
        </w:rPr>
        <w:t>, Vol. 52 (No. 1): 19-30.</w:t>
      </w:r>
    </w:p>
    <w:p w:rsidR="00920B3C" w:rsidRPr="00A2405A" w:rsidRDefault="00920B3C" w:rsidP="006A7F25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r w:rsidRPr="00A042A1">
        <w:rPr>
          <w:rFonts w:ascii="Verdana" w:hAnsi="Verdana" w:cs="Arial"/>
          <w:sz w:val="20"/>
        </w:rPr>
        <w:t xml:space="preserve">Hung, K.F., Choy, </w:t>
      </w:r>
      <w:r w:rsidRPr="00A2405A">
        <w:rPr>
          <w:rFonts w:ascii="Verdana" w:hAnsi="Verdana" w:cs="Arial"/>
          <w:sz w:val="20"/>
        </w:rPr>
        <w:t xml:space="preserve">S.C., Chung, K.H. and Chan, C.K. (2015) “Supporting freshmen through diagnostic e-assessments and e-learning packages”, </w:t>
      </w:r>
      <w:r w:rsidRPr="00A2405A">
        <w:rPr>
          <w:rFonts w:ascii="Verdana" w:hAnsi="Verdana" w:cs="Arial"/>
          <w:i/>
          <w:sz w:val="20"/>
        </w:rPr>
        <w:t>Proceedings of the IMA International Conference on Barriers and Enablers to Learning Maths: Enhancing Learning and Teaching for All Learners</w:t>
      </w:r>
      <w:r w:rsidRPr="00A2405A">
        <w:rPr>
          <w:rFonts w:ascii="Verdana" w:hAnsi="Verdana" w:cs="Arial"/>
          <w:sz w:val="20"/>
        </w:rPr>
        <w:t xml:space="preserve">. </w:t>
      </w:r>
      <w:r w:rsidR="00A2405A" w:rsidRPr="006A7F25">
        <w:rPr>
          <w:rFonts w:ascii="Verdana" w:hAnsi="Verdana"/>
          <w:sz w:val="20"/>
        </w:rPr>
        <w:t xml:space="preserve">Ed. M.A. </w:t>
      </w:r>
      <w:proofErr w:type="spellStart"/>
      <w:r w:rsidR="00A2405A" w:rsidRPr="006A7F25">
        <w:rPr>
          <w:rFonts w:ascii="Verdana" w:hAnsi="Verdana"/>
          <w:sz w:val="20"/>
        </w:rPr>
        <w:t>Hersh</w:t>
      </w:r>
      <w:proofErr w:type="spellEnd"/>
      <w:r w:rsidR="00A2405A" w:rsidRPr="006A7F25">
        <w:rPr>
          <w:rFonts w:ascii="Verdana" w:hAnsi="Verdana"/>
          <w:sz w:val="20"/>
        </w:rPr>
        <w:t xml:space="preserve"> and M. </w:t>
      </w:r>
      <w:proofErr w:type="spellStart"/>
      <w:r w:rsidR="00A2405A" w:rsidRPr="006A7F25">
        <w:rPr>
          <w:rFonts w:ascii="Verdana" w:hAnsi="Verdana"/>
          <w:sz w:val="20"/>
        </w:rPr>
        <w:t>Kotecha</w:t>
      </w:r>
      <w:proofErr w:type="spellEnd"/>
      <w:r w:rsidR="00A2405A" w:rsidRPr="006A7F25">
        <w:rPr>
          <w:rFonts w:ascii="Verdana" w:hAnsi="Verdana"/>
          <w:sz w:val="20"/>
        </w:rPr>
        <w:t>, Glasgow, Scotland, U.K., 10-12 June 2015.</w:t>
      </w:r>
    </w:p>
    <w:p w:rsidR="002E2440" w:rsidRDefault="002E2440" w:rsidP="006A7F25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Ismail, N.A., </w:t>
      </w:r>
      <w:proofErr w:type="spellStart"/>
      <w:r>
        <w:rPr>
          <w:rFonts w:ascii="Verdana" w:hAnsi="Verdana" w:cs="Arial"/>
          <w:sz w:val="20"/>
        </w:rPr>
        <w:t>Ariff</w:t>
      </w:r>
      <w:proofErr w:type="spellEnd"/>
      <w:r>
        <w:rPr>
          <w:rFonts w:ascii="Verdana" w:hAnsi="Verdana" w:cs="Arial"/>
          <w:sz w:val="20"/>
        </w:rPr>
        <w:t xml:space="preserve">, F.H.M., </w:t>
      </w:r>
      <w:proofErr w:type="spellStart"/>
      <w:r>
        <w:rPr>
          <w:rFonts w:ascii="Verdana" w:hAnsi="Verdana" w:cs="Arial"/>
          <w:sz w:val="20"/>
        </w:rPr>
        <w:t>Asshaari</w:t>
      </w:r>
      <w:proofErr w:type="spellEnd"/>
      <w:r>
        <w:rPr>
          <w:rFonts w:ascii="Verdana" w:hAnsi="Verdana" w:cs="Arial"/>
          <w:sz w:val="20"/>
        </w:rPr>
        <w:t xml:space="preserve">, I., Othman, H. and </w:t>
      </w:r>
      <w:proofErr w:type="spellStart"/>
      <w:r>
        <w:rPr>
          <w:rFonts w:ascii="Verdana" w:hAnsi="Verdana" w:cs="Arial"/>
          <w:sz w:val="20"/>
        </w:rPr>
        <w:t>Nopiah</w:t>
      </w:r>
      <w:proofErr w:type="spellEnd"/>
      <w:r>
        <w:rPr>
          <w:rFonts w:ascii="Verdana" w:hAnsi="Verdana" w:cs="Arial"/>
          <w:sz w:val="20"/>
        </w:rPr>
        <w:t xml:space="preserve">, Z.M. (2011) “Pretesting on the first semester engineering students in UKM: Does it make difference?”, </w:t>
      </w:r>
      <w:r w:rsidRPr="002E2440">
        <w:rPr>
          <w:rFonts w:ascii="Verdana" w:hAnsi="Verdana" w:cs="Arial"/>
          <w:i/>
          <w:sz w:val="20"/>
        </w:rPr>
        <w:t xml:space="preserve">Procedia Social and </w:t>
      </w:r>
      <w:proofErr w:type="spellStart"/>
      <w:r w:rsidRPr="002E2440">
        <w:rPr>
          <w:rFonts w:ascii="Verdana" w:hAnsi="Verdana" w:cs="Arial"/>
          <w:i/>
          <w:sz w:val="20"/>
        </w:rPr>
        <w:t>Behavioral</w:t>
      </w:r>
      <w:proofErr w:type="spellEnd"/>
      <w:r w:rsidRPr="002E2440">
        <w:rPr>
          <w:rFonts w:ascii="Verdana" w:hAnsi="Verdana" w:cs="Arial"/>
          <w:i/>
          <w:sz w:val="20"/>
        </w:rPr>
        <w:t xml:space="preserve"> Sciences</w:t>
      </w:r>
      <w:r>
        <w:rPr>
          <w:rFonts w:ascii="Verdana" w:hAnsi="Verdana" w:cs="Arial"/>
          <w:sz w:val="20"/>
        </w:rPr>
        <w:t>, Vol. 18: 81-86.</w:t>
      </w:r>
    </w:p>
    <w:p w:rsidR="00A042A1" w:rsidRDefault="00A042A1" w:rsidP="006A7F25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r w:rsidRPr="00A042A1">
        <w:rPr>
          <w:rFonts w:ascii="Verdana" w:hAnsi="Verdana" w:cs="Arial"/>
          <w:sz w:val="20"/>
        </w:rPr>
        <w:t>Johnson, R.A. and Wichern</w:t>
      </w:r>
      <w:r w:rsidR="00A2405A">
        <w:rPr>
          <w:rFonts w:ascii="Verdana" w:hAnsi="Verdana" w:cs="Arial"/>
          <w:sz w:val="20"/>
        </w:rPr>
        <w:t xml:space="preserve"> D.W.</w:t>
      </w:r>
      <w:r w:rsidRPr="00A042A1">
        <w:rPr>
          <w:rFonts w:ascii="Verdana" w:hAnsi="Verdana" w:cs="Arial"/>
          <w:sz w:val="20"/>
        </w:rPr>
        <w:t xml:space="preserve"> (1992) </w:t>
      </w:r>
      <w:r w:rsidRPr="00E76149">
        <w:rPr>
          <w:rFonts w:ascii="Verdana" w:hAnsi="Verdana" w:cs="Arial"/>
          <w:i/>
          <w:sz w:val="20"/>
        </w:rPr>
        <w:t>Applied Multivariate Statistical Analysis</w:t>
      </w:r>
      <w:r w:rsidRPr="00A042A1">
        <w:rPr>
          <w:rFonts w:ascii="Verdana" w:hAnsi="Verdana" w:cs="Arial"/>
          <w:sz w:val="20"/>
        </w:rPr>
        <w:t>. Third Edition, Prentice-Hall, Upper Saddle River, NJ, U.S.A.</w:t>
      </w:r>
    </w:p>
    <w:p w:rsidR="00CD6841" w:rsidRDefault="00CD6841" w:rsidP="006A7F25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Srisawasdi</w:t>
      </w:r>
      <w:proofErr w:type="spellEnd"/>
      <w:r>
        <w:rPr>
          <w:rFonts w:ascii="Verdana" w:hAnsi="Verdana" w:cs="Arial"/>
          <w:sz w:val="20"/>
        </w:rPr>
        <w:t xml:space="preserve">, N. and </w:t>
      </w:r>
      <w:proofErr w:type="spellStart"/>
      <w:r>
        <w:rPr>
          <w:rFonts w:ascii="Verdana" w:hAnsi="Verdana" w:cs="Arial"/>
          <w:sz w:val="20"/>
        </w:rPr>
        <w:t>Panjaburee</w:t>
      </w:r>
      <w:proofErr w:type="spellEnd"/>
      <w:r>
        <w:rPr>
          <w:rFonts w:ascii="Verdana" w:hAnsi="Verdana" w:cs="Arial"/>
          <w:sz w:val="20"/>
        </w:rPr>
        <w:t>, P. (2014) “</w:t>
      </w:r>
      <w:r w:rsidR="00F816A9">
        <w:rPr>
          <w:rFonts w:ascii="Verdana" w:hAnsi="Verdana" w:cs="Arial"/>
          <w:sz w:val="20"/>
        </w:rPr>
        <w:t>Technology-Enhanced Learning in</w:t>
      </w:r>
      <w:r>
        <w:rPr>
          <w:rFonts w:ascii="Verdana" w:hAnsi="Verdana" w:cs="Arial"/>
          <w:sz w:val="20"/>
        </w:rPr>
        <w:t xml:space="preserve"> Science, Technology, and Mathematics Education: Results on Supporting Student Learning”, </w:t>
      </w:r>
      <w:r w:rsidRPr="00CD6841">
        <w:rPr>
          <w:rFonts w:ascii="Verdana" w:hAnsi="Verdana" w:cs="Arial"/>
          <w:i/>
          <w:sz w:val="20"/>
        </w:rPr>
        <w:t xml:space="preserve">Procedia- Social and </w:t>
      </w:r>
      <w:proofErr w:type="spellStart"/>
      <w:r w:rsidRPr="00CD6841">
        <w:rPr>
          <w:rFonts w:ascii="Verdana" w:hAnsi="Verdana" w:cs="Arial"/>
          <w:i/>
          <w:sz w:val="20"/>
        </w:rPr>
        <w:t>Behavioral</w:t>
      </w:r>
      <w:proofErr w:type="spellEnd"/>
      <w:r w:rsidRPr="00CD6841">
        <w:rPr>
          <w:rFonts w:ascii="Verdana" w:hAnsi="Verdana" w:cs="Arial"/>
          <w:i/>
          <w:sz w:val="20"/>
        </w:rPr>
        <w:t xml:space="preserve"> Sciences</w:t>
      </w:r>
      <w:r>
        <w:rPr>
          <w:rFonts w:ascii="Verdana" w:hAnsi="Verdana" w:cs="Arial"/>
          <w:sz w:val="20"/>
        </w:rPr>
        <w:t>, Vol 116: 946-950.</w:t>
      </w:r>
    </w:p>
    <w:p w:rsidR="006611EA" w:rsidRPr="00070E02" w:rsidRDefault="00534574">
      <w:pPr>
        <w:pStyle w:val="Reference"/>
        <w:numPr>
          <w:ilvl w:val="0"/>
          <w:numId w:val="0"/>
        </w:numPr>
        <w:tabs>
          <w:tab w:val="left" w:pos="720"/>
        </w:tabs>
        <w:spacing w:after="120"/>
        <w:ind w:left="360" w:hanging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Wang, T.H. (2014) “Developing an assessment-</w:t>
      </w:r>
      <w:proofErr w:type="spellStart"/>
      <w:r>
        <w:rPr>
          <w:rFonts w:ascii="Verdana" w:hAnsi="Verdana" w:cs="Arial"/>
          <w:sz w:val="20"/>
        </w:rPr>
        <w:t>centered</w:t>
      </w:r>
      <w:proofErr w:type="spellEnd"/>
      <w:r>
        <w:rPr>
          <w:rFonts w:ascii="Verdana" w:hAnsi="Verdana" w:cs="Arial"/>
          <w:sz w:val="20"/>
        </w:rPr>
        <w:t xml:space="preserve"> e-Learning system for improving student learning effectiveness”, </w:t>
      </w:r>
      <w:r w:rsidRPr="007D73C7">
        <w:rPr>
          <w:rFonts w:ascii="Verdana" w:hAnsi="Verdana" w:cs="Arial"/>
          <w:i/>
          <w:sz w:val="20"/>
        </w:rPr>
        <w:t>Comp</w:t>
      </w:r>
      <w:r w:rsidR="007D73C7" w:rsidRPr="007D73C7">
        <w:rPr>
          <w:rFonts w:ascii="Verdana" w:hAnsi="Verdana" w:cs="Arial"/>
          <w:i/>
          <w:sz w:val="20"/>
        </w:rPr>
        <w:t>u</w:t>
      </w:r>
      <w:r w:rsidRPr="007D73C7">
        <w:rPr>
          <w:rFonts w:ascii="Verdana" w:hAnsi="Verdana" w:cs="Arial"/>
          <w:i/>
          <w:sz w:val="20"/>
        </w:rPr>
        <w:t>ters &amp; Education</w:t>
      </w:r>
      <w:r>
        <w:rPr>
          <w:rFonts w:ascii="Verdana" w:hAnsi="Verdana" w:cs="Arial"/>
          <w:sz w:val="20"/>
        </w:rPr>
        <w:t>, Vol. 73: 189-203.</w:t>
      </w:r>
    </w:p>
    <w:sectPr w:rsidR="006611EA" w:rsidRPr="00070E02" w:rsidSect="00D0572F">
      <w:headerReference w:type="default" r:id="rId16"/>
      <w:type w:val="continuous"/>
      <w:pgSz w:w="11906" w:h="16838" w:code="9"/>
      <w:pgMar w:top="1440" w:right="1440" w:bottom="1276" w:left="1440" w:header="720" w:footer="720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9" w:rsidRDefault="00015D99" w:rsidP="00594696">
      <w:r>
        <w:separator/>
      </w:r>
    </w:p>
  </w:endnote>
  <w:endnote w:type="continuationSeparator" w:id="0">
    <w:p w:rsidR="00015D99" w:rsidRDefault="00015D99" w:rsidP="005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9" w:rsidRDefault="00015D99" w:rsidP="00594696">
      <w:r>
        <w:separator/>
      </w:r>
    </w:p>
  </w:footnote>
  <w:footnote w:type="continuationSeparator" w:id="0">
    <w:p w:rsidR="00015D99" w:rsidRDefault="00015D99" w:rsidP="005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4" w:rsidRPr="00960CCB" w:rsidRDefault="005F6A44" w:rsidP="00847F3A">
    <w:pPr>
      <w:rPr>
        <w:rFonts w:cstheme="minorHAnsi"/>
        <w:b/>
        <w:sz w:val="30"/>
        <w:highlight w:val="yellow"/>
      </w:rPr>
    </w:pPr>
    <w:r w:rsidRPr="00960CCB">
      <w:rPr>
        <w:rFonts w:ascii="Verdana" w:hAnsi="Verdana"/>
        <w:sz w:val="16"/>
        <w:szCs w:val="16"/>
        <w:lang w:val="en-GB"/>
      </w:rPr>
      <w:t>IMA and CETL-MSOR 2017:</w:t>
    </w:r>
    <w:r w:rsidRPr="00960CCB">
      <w:rPr>
        <w:rFonts w:cstheme="minorHAnsi"/>
        <w:b/>
        <w:sz w:val="30"/>
      </w:rPr>
      <w:t xml:space="preserve"> </w:t>
    </w:r>
    <w:r w:rsidRPr="00960CCB">
      <w:rPr>
        <w:rFonts w:ascii="Verdana" w:hAnsi="Verdana" w:cstheme="minorHAnsi"/>
        <w:sz w:val="18"/>
        <w:szCs w:val="18"/>
      </w:rPr>
      <w:t>Mathematics Education beyond 16: Pathways and Transitions</w:t>
    </w:r>
  </w:p>
  <w:p w:rsidR="005F6A44" w:rsidRPr="0052672E" w:rsidRDefault="005F6A44" w:rsidP="00847F3A">
    <w:pPr>
      <w:pStyle w:val="Header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27F10F84"/>
    <w:multiLevelType w:val="hybridMultilevel"/>
    <w:tmpl w:val="5B6CA1E2"/>
    <w:lvl w:ilvl="0" w:tplc="831E8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49F"/>
    <w:multiLevelType w:val="hybridMultilevel"/>
    <w:tmpl w:val="91C22FBC"/>
    <w:lvl w:ilvl="0" w:tplc="154EC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consecutiveHyphenLimit w:val="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0"/>
    <w:rsid w:val="00000AC9"/>
    <w:rsid w:val="00001B0B"/>
    <w:rsid w:val="00007A21"/>
    <w:rsid w:val="00007B9C"/>
    <w:rsid w:val="000116EE"/>
    <w:rsid w:val="00012D75"/>
    <w:rsid w:val="000145CD"/>
    <w:rsid w:val="00014B5A"/>
    <w:rsid w:val="00015D99"/>
    <w:rsid w:val="00017965"/>
    <w:rsid w:val="0002126E"/>
    <w:rsid w:val="0002552C"/>
    <w:rsid w:val="000276F9"/>
    <w:rsid w:val="000315F9"/>
    <w:rsid w:val="00036D81"/>
    <w:rsid w:val="0003746F"/>
    <w:rsid w:val="0005401D"/>
    <w:rsid w:val="0005483C"/>
    <w:rsid w:val="00061765"/>
    <w:rsid w:val="000619EE"/>
    <w:rsid w:val="000657BF"/>
    <w:rsid w:val="000659C7"/>
    <w:rsid w:val="00070E02"/>
    <w:rsid w:val="0007398B"/>
    <w:rsid w:val="00074082"/>
    <w:rsid w:val="000747AC"/>
    <w:rsid w:val="00075D83"/>
    <w:rsid w:val="00077144"/>
    <w:rsid w:val="00084CDB"/>
    <w:rsid w:val="0008562B"/>
    <w:rsid w:val="000942F6"/>
    <w:rsid w:val="000C3606"/>
    <w:rsid w:val="000D0FD2"/>
    <w:rsid w:val="000D19F7"/>
    <w:rsid w:val="000D2162"/>
    <w:rsid w:val="000D4BE3"/>
    <w:rsid w:val="000E31B7"/>
    <w:rsid w:val="000E56BD"/>
    <w:rsid w:val="000E77F9"/>
    <w:rsid w:val="000E7BAD"/>
    <w:rsid w:val="000F0FF2"/>
    <w:rsid w:val="000F13D2"/>
    <w:rsid w:val="000F6807"/>
    <w:rsid w:val="000F6E47"/>
    <w:rsid w:val="00101F0D"/>
    <w:rsid w:val="00103044"/>
    <w:rsid w:val="00105BCD"/>
    <w:rsid w:val="00111010"/>
    <w:rsid w:val="001141EC"/>
    <w:rsid w:val="0011466D"/>
    <w:rsid w:val="00114728"/>
    <w:rsid w:val="001155E3"/>
    <w:rsid w:val="0012220D"/>
    <w:rsid w:val="001335B5"/>
    <w:rsid w:val="001352EA"/>
    <w:rsid w:val="001434C2"/>
    <w:rsid w:val="00144035"/>
    <w:rsid w:val="001458AD"/>
    <w:rsid w:val="00152CBD"/>
    <w:rsid w:val="001539B7"/>
    <w:rsid w:val="001545E9"/>
    <w:rsid w:val="00154DC9"/>
    <w:rsid w:val="001608BE"/>
    <w:rsid w:val="00160B35"/>
    <w:rsid w:val="00161501"/>
    <w:rsid w:val="00170F14"/>
    <w:rsid w:val="00172DEE"/>
    <w:rsid w:val="00175C73"/>
    <w:rsid w:val="001765E5"/>
    <w:rsid w:val="00184F1D"/>
    <w:rsid w:val="001908E1"/>
    <w:rsid w:val="00190ECC"/>
    <w:rsid w:val="001919A0"/>
    <w:rsid w:val="001945D8"/>
    <w:rsid w:val="00194B5D"/>
    <w:rsid w:val="001959FE"/>
    <w:rsid w:val="0019794C"/>
    <w:rsid w:val="001A44E5"/>
    <w:rsid w:val="001A6DD8"/>
    <w:rsid w:val="001A7013"/>
    <w:rsid w:val="001B5033"/>
    <w:rsid w:val="001C1EAE"/>
    <w:rsid w:val="001C3E89"/>
    <w:rsid w:val="001C52F3"/>
    <w:rsid w:val="001C5D54"/>
    <w:rsid w:val="001C6371"/>
    <w:rsid w:val="001C6CBB"/>
    <w:rsid w:val="001C7110"/>
    <w:rsid w:val="001C7B5F"/>
    <w:rsid w:val="001D2A24"/>
    <w:rsid w:val="001D2D9C"/>
    <w:rsid w:val="001D558B"/>
    <w:rsid w:val="001D5874"/>
    <w:rsid w:val="001D6C51"/>
    <w:rsid w:val="001D71C8"/>
    <w:rsid w:val="001D73B7"/>
    <w:rsid w:val="001D7C8A"/>
    <w:rsid w:val="001E5A7B"/>
    <w:rsid w:val="001E6603"/>
    <w:rsid w:val="001E705C"/>
    <w:rsid w:val="001F1513"/>
    <w:rsid w:val="001F3BF0"/>
    <w:rsid w:val="001F403C"/>
    <w:rsid w:val="001F5F98"/>
    <w:rsid w:val="00210E0B"/>
    <w:rsid w:val="00211CB7"/>
    <w:rsid w:val="00213641"/>
    <w:rsid w:val="002152A2"/>
    <w:rsid w:val="00224E37"/>
    <w:rsid w:val="00230E5C"/>
    <w:rsid w:val="00231108"/>
    <w:rsid w:val="00233B99"/>
    <w:rsid w:val="0023530A"/>
    <w:rsid w:val="002358FF"/>
    <w:rsid w:val="00235FA9"/>
    <w:rsid w:val="002377FB"/>
    <w:rsid w:val="002403F6"/>
    <w:rsid w:val="00243200"/>
    <w:rsid w:val="00243990"/>
    <w:rsid w:val="00246DEB"/>
    <w:rsid w:val="00247026"/>
    <w:rsid w:val="00251C06"/>
    <w:rsid w:val="00254084"/>
    <w:rsid w:val="002607B6"/>
    <w:rsid w:val="00263873"/>
    <w:rsid w:val="00264337"/>
    <w:rsid w:val="00270B0F"/>
    <w:rsid w:val="00271B2F"/>
    <w:rsid w:val="00275984"/>
    <w:rsid w:val="002764D5"/>
    <w:rsid w:val="00280C24"/>
    <w:rsid w:val="00284337"/>
    <w:rsid w:val="00284E68"/>
    <w:rsid w:val="002A04C9"/>
    <w:rsid w:val="002A24CF"/>
    <w:rsid w:val="002A3567"/>
    <w:rsid w:val="002A4725"/>
    <w:rsid w:val="002A553D"/>
    <w:rsid w:val="002A760D"/>
    <w:rsid w:val="002C3ADA"/>
    <w:rsid w:val="002C4587"/>
    <w:rsid w:val="002C4933"/>
    <w:rsid w:val="002D0EE8"/>
    <w:rsid w:val="002D2214"/>
    <w:rsid w:val="002D25EF"/>
    <w:rsid w:val="002D2808"/>
    <w:rsid w:val="002D64BD"/>
    <w:rsid w:val="002E1571"/>
    <w:rsid w:val="002E2440"/>
    <w:rsid w:val="002E2C7E"/>
    <w:rsid w:val="002E313B"/>
    <w:rsid w:val="002E7FCE"/>
    <w:rsid w:val="002F02A1"/>
    <w:rsid w:val="002F727A"/>
    <w:rsid w:val="002F7AAF"/>
    <w:rsid w:val="0030004B"/>
    <w:rsid w:val="003009AB"/>
    <w:rsid w:val="003012F2"/>
    <w:rsid w:val="00301594"/>
    <w:rsid w:val="00301CFE"/>
    <w:rsid w:val="0031452C"/>
    <w:rsid w:val="003154DB"/>
    <w:rsid w:val="00320A92"/>
    <w:rsid w:val="0032451A"/>
    <w:rsid w:val="0033151E"/>
    <w:rsid w:val="003360DF"/>
    <w:rsid w:val="00336BD1"/>
    <w:rsid w:val="00345605"/>
    <w:rsid w:val="003516B1"/>
    <w:rsid w:val="00355387"/>
    <w:rsid w:val="00355F63"/>
    <w:rsid w:val="00360FC7"/>
    <w:rsid w:val="00361817"/>
    <w:rsid w:val="00364B89"/>
    <w:rsid w:val="00364E62"/>
    <w:rsid w:val="00367928"/>
    <w:rsid w:val="00376078"/>
    <w:rsid w:val="003768B8"/>
    <w:rsid w:val="0038002C"/>
    <w:rsid w:val="00384567"/>
    <w:rsid w:val="003850B1"/>
    <w:rsid w:val="00387FDD"/>
    <w:rsid w:val="0039016E"/>
    <w:rsid w:val="003919ED"/>
    <w:rsid w:val="0039201A"/>
    <w:rsid w:val="00392073"/>
    <w:rsid w:val="003948DA"/>
    <w:rsid w:val="00394D90"/>
    <w:rsid w:val="00395A6C"/>
    <w:rsid w:val="00396452"/>
    <w:rsid w:val="003973E8"/>
    <w:rsid w:val="003A0127"/>
    <w:rsid w:val="003A1484"/>
    <w:rsid w:val="003A1A4C"/>
    <w:rsid w:val="003A50F8"/>
    <w:rsid w:val="003B194D"/>
    <w:rsid w:val="003B33C4"/>
    <w:rsid w:val="003B6F9F"/>
    <w:rsid w:val="003C0BD1"/>
    <w:rsid w:val="003C11FE"/>
    <w:rsid w:val="003C149C"/>
    <w:rsid w:val="003C64A0"/>
    <w:rsid w:val="003D46FA"/>
    <w:rsid w:val="003E5799"/>
    <w:rsid w:val="003E6A54"/>
    <w:rsid w:val="003E796A"/>
    <w:rsid w:val="003F105F"/>
    <w:rsid w:val="003F7FAB"/>
    <w:rsid w:val="004066C1"/>
    <w:rsid w:val="004115E9"/>
    <w:rsid w:val="00411DC4"/>
    <w:rsid w:val="0042053F"/>
    <w:rsid w:val="00420641"/>
    <w:rsid w:val="00425F70"/>
    <w:rsid w:val="004273EE"/>
    <w:rsid w:val="00427714"/>
    <w:rsid w:val="004304DB"/>
    <w:rsid w:val="00430956"/>
    <w:rsid w:val="00433990"/>
    <w:rsid w:val="004352F6"/>
    <w:rsid w:val="00436234"/>
    <w:rsid w:val="004371F6"/>
    <w:rsid w:val="004372F4"/>
    <w:rsid w:val="00441EB0"/>
    <w:rsid w:val="0044221E"/>
    <w:rsid w:val="004435C8"/>
    <w:rsid w:val="004530C8"/>
    <w:rsid w:val="004560BB"/>
    <w:rsid w:val="00457624"/>
    <w:rsid w:val="00457AF5"/>
    <w:rsid w:val="004609B1"/>
    <w:rsid w:val="00465929"/>
    <w:rsid w:val="00466C2B"/>
    <w:rsid w:val="004721CF"/>
    <w:rsid w:val="00473A86"/>
    <w:rsid w:val="0048097A"/>
    <w:rsid w:val="004819B3"/>
    <w:rsid w:val="00482B16"/>
    <w:rsid w:val="00484D23"/>
    <w:rsid w:val="00486A20"/>
    <w:rsid w:val="00492053"/>
    <w:rsid w:val="00493399"/>
    <w:rsid w:val="004967A9"/>
    <w:rsid w:val="00497AB0"/>
    <w:rsid w:val="004A441D"/>
    <w:rsid w:val="004A7629"/>
    <w:rsid w:val="004B1750"/>
    <w:rsid w:val="004B6F80"/>
    <w:rsid w:val="004C05E2"/>
    <w:rsid w:val="004D21C7"/>
    <w:rsid w:val="004D4760"/>
    <w:rsid w:val="004D5837"/>
    <w:rsid w:val="004D5984"/>
    <w:rsid w:val="004D7EAD"/>
    <w:rsid w:val="004E02CF"/>
    <w:rsid w:val="004E198F"/>
    <w:rsid w:val="004E1CBE"/>
    <w:rsid w:val="004E2BBF"/>
    <w:rsid w:val="004E4717"/>
    <w:rsid w:val="004E4F3E"/>
    <w:rsid w:val="004F43BA"/>
    <w:rsid w:val="004F4935"/>
    <w:rsid w:val="004F4B4B"/>
    <w:rsid w:val="004F71D9"/>
    <w:rsid w:val="004F753C"/>
    <w:rsid w:val="0050081D"/>
    <w:rsid w:val="00501386"/>
    <w:rsid w:val="005014D1"/>
    <w:rsid w:val="00510CB1"/>
    <w:rsid w:val="00515217"/>
    <w:rsid w:val="00517B3D"/>
    <w:rsid w:val="0052112E"/>
    <w:rsid w:val="00521F22"/>
    <w:rsid w:val="00523FE0"/>
    <w:rsid w:val="00525557"/>
    <w:rsid w:val="0052672E"/>
    <w:rsid w:val="00526B78"/>
    <w:rsid w:val="00534574"/>
    <w:rsid w:val="00536657"/>
    <w:rsid w:val="005410AE"/>
    <w:rsid w:val="005429CB"/>
    <w:rsid w:val="0054390E"/>
    <w:rsid w:val="0055049C"/>
    <w:rsid w:val="00552163"/>
    <w:rsid w:val="005545AF"/>
    <w:rsid w:val="00557AA2"/>
    <w:rsid w:val="00562111"/>
    <w:rsid w:val="00564595"/>
    <w:rsid w:val="005674E7"/>
    <w:rsid w:val="00570C22"/>
    <w:rsid w:val="00576E4C"/>
    <w:rsid w:val="0057794C"/>
    <w:rsid w:val="00577EC1"/>
    <w:rsid w:val="00581919"/>
    <w:rsid w:val="00581B7F"/>
    <w:rsid w:val="00583CB3"/>
    <w:rsid w:val="00594696"/>
    <w:rsid w:val="00595B41"/>
    <w:rsid w:val="005A1E00"/>
    <w:rsid w:val="005B0212"/>
    <w:rsid w:val="005B2BD2"/>
    <w:rsid w:val="005B663A"/>
    <w:rsid w:val="005B7CC5"/>
    <w:rsid w:val="005C4C22"/>
    <w:rsid w:val="005C4F3F"/>
    <w:rsid w:val="005C6C07"/>
    <w:rsid w:val="005C717D"/>
    <w:rsid w:val="005D0B35"/>
    <w:rsid w:val="005D1506"/>
    <w:rsid w:val="005E2475"/>
    <w:rsid w:val="005E25C8"/>
    <w:rsid w:val="005E2C1B"/>
    <w:rsid w:val="005E4A59"/>
    <w:rsid w:val="005E4F0B"/>
    <w:rsid w:val="005F0664"/>
    <w:rsid w:val="005F6A44"/>
    <w:rsid w:val="00601541"/>
    <w:rsid w:val="00602CCC"/>
    <w:rsid w:val="00610A01"/>
    <w:rsid w:val="00613759"/>
    <w:rsid w:val="006240BC"/>
    <w:rsid w:val="0062537B"/>
    <w:rsid w:val="0063112E"/>
    <w:rsid w:val="00631FE6"/>
    <w:rsid w:val="0063206A"/>
    <w:rsid w:val="00633A4E"/>
    <w:rsid w:val="00635675"/>
    <w:rsid w:val="00641A86"/>
    <w:rsid w:val="0064250A"/>
    <w:rsid w:val="006474D5"/>
    <w:rsid w:val="00655B2D"/>
    <w:rsid w:val="00655FC3"/>
    <w:rsid w:val="006611EA"/>
    <w:rsid w:val="00661432"/>
    <w:rsid w:val="00661DF5"/>
    <w:rsid w:val="006626E3"/>
    <w:rsid w:val="0066470E"/>
    <w:rsid w:val="00667317"/>
    <w:rsid w:val="006706F4"/>
    <w:rsid w:val="00673E3F"/>
    <w:rsid w:val="0068033D"/>
    <w:rsid w:val="00685648"/>
    <w:rsid w:val="00687073"/>
    <w:rsid w:val="00687C8C"/>
    <w:rsid w:val="00692C99"/>
    <w:rsid w:val="006A0B64"/>
    <w:rsid w:val="006A15C3"/>
    <w:rsid w:val="006A2177"/>
    <w:rsid w:val="006A6DF0"/>
    <w:rsid w:val="006A7F25"/>
    <w:rsid w:val="006B03A2"/>
    <w:rsid w:val="006B27A4"/>
    <w:rsid w:val="006B4732"/>
    <w:rsid w:val="006C0BA9"/>
    <w:rsid w:val="006C0CEE"/>
    <w:rsid w:val="006C433A"/>
    <w:rsid w:val="006D0E34"/>
    <w:rsid w:val="006D12E8"/>
    <w:rsid w:val="006D75AA"/>
    <w:rsid w:val="006E24D8"/>
    <w:rsid w:val="006E4A72"/>
    <w:rsid w:val="006E62CF"/>
    <w:rsid w:val="006E6A1E"/>
    <w:rsid w:val="006E73F2"/>
    <w:rsid w:val="006F0A30"/>
    <w:rsid w:val="006F0CAE"/>
    <w:rsid w:val="006F21FB"/>
    <w:rsid w:val="006F30B5"/>
    <w:rsid w:val="006F32AD"/>
    <w:rsid w:val="006F32F5"/>
    <w:rsid w:val="006F41B6"/>
    <w:rsid w:val="006F465A"/>
    <w:rsid w:val="006F4BD3"/>
    <w:rsid w:val="00701C61"/>
    <w:rsid w:val="00707ABD"/>
    <w:rsid w:val="007110D4"/>
    <w:rsid w:val="00715EC3"/>
    <w:rsid w:val="007172F3"/>
    <w:rsid w:val="0072011C"/>
    <w:rsid w:val="00724952"/>
    <w:rsid w:val="00725007"/>
    <w:rsid w:val="00740001"/>
    <w:rsid w:val="00750A22"/>
    <w:rsid w:val="007522D0"/>
    <w:rsid w:val="00753A16"/>
    <w:rsid w:val="007554FE"/>
    <w:rsid w:val="00767976"/>
    <w:rsid w:val="007703CD"/>
    <w:rsid w:val="00773B87"/>
    <w:rsid w:val="00780BF0"/>
    <w:rsid w:val="00780EE8"/>
    <w:rsid w:val="00781459"/>
    <w:rsid w:val="00782BEF"/>
    <w:rsid w:val="00783092"/>
    <w:rsid w:val="00783F1C"/>
    <w:rsid w:val="007852D2"/>
    <w:rsid w:val="00787602"/>
    <w:rsid w:val="007876F6"/>
    <w:rsid w:val="007945A2"/>
    <w:rsid w:val="00795A3C"/>
    <w:rsid w:val="00795B66"/>
    <w:rsid w:val="007961E7"/>
    <w:rsid w:val="007A41A9"/>
    <w:rsid w:val="007A6FFC"/>
    <w:rsid w:val="007B051C"/>
    <w:rsid w:val="007B0A13"/>
    <w:rsid w:val="007B37F7"/>
    <w:rsid w:val="007B5DB2"/>
    <w:rsid w:val="007B6033"/>
    <w:rsid w:val="007C1470"/>
    <w:rsid w:val="007C6BFA"/>
    <w:rsid w:val="007D73C7"/>
    <w:rsid w:val="007D7A9A"/>
    <w:rsid w:val="007F1DEA"/>
    <w:rsid w:val="007F1E29"/>
    <w:rsid w:val="007F2B12"/>
    <w:rsid w:val="007F3335"/>
    <w:rsid w:val="007F6173"/>
    <w:rsid w:val="007F7EFC"/>
    <w:rsid w:val="008115C7"/>
    <w:rsid w:val="00815763"/>
    <w:rsid w:val="008240D2"/>
    <w:rsid w:val="00825816"/>
    <w:rsid w:val="008268B0"/>
    <w:rsid w:val="00826941"/>
    <w:rsid w:val="00830A26"/>
    <w:rsid w:val="0083203B"/>
    <w:rsid w:val="0083485F"/>
    <w:rsid w:val="008355A3"/>
    <w:rsid w:val="00836A89"/>
    <w:rsid w:val="00844767"/>
    <w:rsid w:val="00847F3A"/>
    <w:rsid w:val="00850168"/>
    <w:rsid w:val="008520F8"/>
    <w:rsid w:val="00856197"/>
    <w:rsid w:val="00857041"/>
    <w:rsid w:val="0086018B"/>
    <w:rsid w:val="008621A0"/>
    <w:rsid w:val="00862B2A"/>
    <w:rsid w:val="008659C2"/>
    <w:rsid w:val="00866FEC"/>
    <w:rsid w:val="008709EC"/>
    <w:rsid w:val="00870D16"/>
    <w:rsid w:val="00870DA1"/>
    <w:rsid w:val="0087450C"/>
    <w:rsid w:val="00874704"/>
    <w:rsid w:val="008758C6"/>
    <w:rsid w:val="00876453"/>
    <w:rsid w:val="00877261"/>
    <w:rsid w:val="008779A6"/>
    <w:rsid w:val="00881EDF"/>
    <w:rsid w:val="00887A39"/>
    <w:rsid w:val="00891C9B"/>
    <w:rsid w:val="00892B42"/>
    <w:rsid w:val="008A0205"/>
    <w:rsid w:val="008A4E10"/>
    <w:rsid w:val="008A57DD"/>
    <w:rsid w:val="008A5EDE"/>
    <w:rsid w:val="008A6C07"/>
    <w:rsid w:val="008B0063"/>
    <w:rsid w:val="008B092F"/>
    <w:rsid w:val="008C0BB2"/>
    <w:rsid w:val="008C41D5"/>
    <w:rsid w:val="008C432B"/>
    <w:rsid w:val="008C4504"/>
    <w:rsid w:val="008D13E2"/>
    <w:rsid w:val="008D146C"/>
    <w:rsid w:val="008D1625"/>
    <w:rsid w:val="008D202F"/>
    <w:rsid w:val="008D5711"/>
    <w:rsid w:val="008D5FA9"/>
    <w:rsid w:val="008E03D3"/>
    <w:rsid w:val="008E39E4"/>
    <w:rsid w:val="008E3E39"/>
    <w:rsid w:val="008F0369"/>
    <w:rsid w:val="008F4ED7"/>
    <w:rsid w:val="008F56B8"/>
    <w:rsid w:val="008F7357"/>
    <w:rsid w:val="008F783A"/>
    <w:rsid w:val="00906AC8"/>
    <w:rsid w:val="00906E66"/>
    <w:rsid w:val="00910B34"/>
    <w:rsid w:val="00911979"/>
    <w:rsid w:val="00912855"/>
    <w:rsid w:val="00913BCE"/>
    <w:rsid w:val="00915E88"/>
    <w:rsid w:val="009160D0"/>
    <w:rsid w:val="00917634"/>
    <w:rsid w:val="00920B3C"/>
    <w:rsid w:val="0092432B"/>
    <w:rsid w:val="00924F63"/>
    <w:rsid w:val="0092602E"/>
    <w:rsid w:val="009301C1"/>
    <w:rsid w:val="009309DB"/>
    <w:rsid w:val="0093432F"/>
    <w:rsid w:val="00945DE7"/>
    <w:rsid w:val="00950510"/>
    <w:rsid w:val="00952264"/>
    <w:rsid w:val="00955C7D"/>
    <w:rsid w:val="00956783"/>
    <w:rsid w:val="00960426"/>
    <w:rsid w:val="00960A5D"/>
    <w:rsid w:val="00960CCB"/>
    <w:rsid w:val="009653BF"/>
    <w:rsid w:val="00967039"/>
    <w:rsid w:val="009675CE"/>
    <w:rsid w:val="009703EE"/>
    <w:rsid w:val="0097171F"/>
    <w:rsid w:val="00971BC2"/>
    <w:rsid w:val="009727C0"/>
    <w:rsid w:val="00973AB3"/>
    <w:rsid w:val="00980881"/>
    <w:rsid w:val="009851DC"/>
    <w:rsid w:val="00992D63"/>
    <w:rsid w:val="0099673E"/>
    <w:rsid w:val="009A4191"/>
    <w:rsid w:val="009A4A7B"/>
    <w:rsid w:val="009A6898"/>
    <w:rsid w:val="009B3AEF"/>
    <w:rsid w:val="009B3B83"/>
    <w:rsid w:val="009B43DC"/>
    <w:rsid w:val="009C6407"/>
    <w:rsid w:val="009C7A0C"/>
    <w:rsid w:val="009D04A6"/>
    <w:rsid w:val="009D7F6E"/>
    <w:rsid w:val="009E0D30"/>
    <w:rsid w:val="009E3D56"/>
    <w:rsid w:val="009E54FE"/>
    <w:rsid w:val="009E5ECC"/>
    <w:rsid w:val="009E60BE"/>
    <w:rsid w:val="009F1EBC"/>
    <w:rsid w:val="009F59D6"/>
    <w:rsid w:val="009F74CC"/>
    <w:rsid w:val="009F7BE1"/>
    <w:rsid w:val="00A03863"/>
    <w:rsid w:val="00A03ADB"/>
    <w:rsid w:val="00A042A1"/>
    <w:rsid w:val="00A10DB8"/>
    <w:rsid w:val="00A176BE"/>
    <w:rsid w:val="00A17E38"/>
    <w:rsid w:val="00A17FF1"/>
    <w:rsid w:val="00A224D3"/>
    <w:rsid w:val="00A237D2"/>
    <w:rsid w:val="00A2405A"/>
    <w:rsid w:val="00A251BD"/>
    <w:rsid w:val="00A260F0"/>
    <w:rsid w:val="00A309B7"/>
    <w:rsid w:val="00A315CB"/>
    <w:rsid w:val="00A35A8B"/>
    <w:rsid w:val="00A40337"/>
    <w:rsid w:val="00A459AB"/>
    <w:rsid w:val="00A475B3"/>
    <w:rsid w:val="00A70B83"/>
    <w:rsid w:val="00A716A5"/>
    <w:rsid w:val="00A7268F"/>
    <w:rsid w:val="00A7582D"/>
    <w:rsid w:val="00A75916"/>
    <w:rsid w:val="00A76FD2"/>
    <w:rsid w:val="00A80FDA"/>
    <w:rsid w:val="00A82A60"/>
    <w:rsid w:val="00A83780"/>
    <w:rsid w:val="00A85593"/>
    <w:rsid w:val="00A86351"/>
    <w:rsid w:val="00A90730"/>
    <w:rsid w:val="00A90BCF"/>
    <w:rsid w:val="00A924F5"/>
    <w:rsid w:val="00A93511"/>
    <w:rsid w:val="00A94C30"/>
    <w:rsid w:val="00A9661B"/>
    <w:rsid w:val="00A97E07"/>
    <w:rsid w:val="00AA4ED6"/>
    <w:rsid w:val="00AA5015"/>
    <w:rsid w:val="00AA5242"/>
    <w:rsid w:val="00AA537C"/>
    <w:rsid w:val="00AA6DFF"/>
    <w:rsid w:val="00AB0153"/>
    <w:rsid w:val="00AB1408"/>
    <w:rsid w:val="00AB3702"/>
    <w:rsid w:val="00AB5EC2"/>
    <w:rsid w:val="00AC399F"/>
    <w:rsid w:val="00AC411F"/>
    <w:rsid w:val="00AC4325"/>
    <w:rsid w:val="00AC46C3"/>
    <w:rsid w:val="00AC4FC9"/>
    <w:rsid w:val="00AD2DAB"/>
    <w:rsid w:val="00AD4209"/>
    <w:rsid w:val="00AD5B78"/>
    <w:rsid w:val="00AD68E8"/>
    <w:rsid w:val="00AE45EA"/>
    <w:rsid w:val="00AE6383"/>
    <w:rsid w:val="00AF061E"/>
    <w:rsid w:val="00AF42AD"/>
    <w:rsid w:val="00AF77D7"/>
    <w:rsid w:val="00B004B4"/>
    <w:rsid w:val="00B02417"/>
    <w:rsid w:val="00B02647"/>
    <w:rsid w:val="00B07081"/>
    <w:rsid w:val="00B13BD0"/>
    <w:rsid w:val="00B17211"/>
    <w:rsid w:val="00B23A89"/>
    <w:rsid w:val="00B245BA"/>
    <w:rsid w:val="00B3191A"/>
    <w:rsid w:val="00B3205D"/>
    <w:rsid w:val="00B3470E"/>
    <w:rsid w:val="00B35C7B"/>
    <w:rsid w:val="00B36CBA"/>
    <w:rsid w:val="00B374A4"/>
    <w:rsid w:val="00B374E3"/>
    <w:rsid w:val="00B40909"/>
    <w:rsid w:val="00B418A0"/>
    <w:rsid w:val="00B43576"/>
    <w:rsid w:val="00B458B0"/>
    <w:rsid w:val="00B46F95"/>
    <w:rsid w:val="00B470E4"/>
    <w:rsid w:val="00B52CF7"/>
    <w:rsid w:val="00B535D8"/>
    <w:rsid w:val="00B53FE0"/>
    <w:rsid w:val="00B5507E"/>
    <w:rsid w:val="00B56C7D"/>
    <w:rsid w:val="00B56D5B"/>
    <w:rsid w:val="00B56F0D"/>
    <w:rsid w:val="00B60950"/>
    <w:rsid w:val="00B640E9"/>
    <w:rsid w:val="00B67F23"/>
    <w:rsid w:val="00B75305"/>
    <w:rsid w:val="00B77535"/>
    <w:rsid w:val="00B77E07"/>
    <w:rsid w:val="00B803A1"/>
    <w:rsid w:val="00B821E1"/>
    <w:rsid w:val="00B82A36"/>
    <w:rsid w:val="00B84D56"/>
    <w:rsid w:val="00B915D7"/>
    <w:rsid w:val="00B9240F"/>
    <w:rsid w:val="00B92816"/>
    <w:rsid w:val="00B92FDA"/>
    <w:rsid w:val="00B9563B"/>
    <w:rsid w:val="00B96BF9"/>
    <w:rsid w:val="00BA17D8"/>
    <w:rsid w:val="00BA336C"/>
    <w:rsid w:val="00BA53B0"/>
    <w:rsid w:val="00BB13E5"/>
    <w:rsid w:val="00BB2646"/>
    <w:rsid w:val="00BB38B1"/>
    <w:rsid w:val="00BB756F"/>
    <w:rsid w:val="00BB7FCC"/>
    <w:rsid w:val="00BC2D14"/>
    <w:rsid w:val="00BC2E58"/>
    <w:rsid w:val="00BC5FE9"/>
    <w:rsid w:val="00BD018D"/>
    <w:rsid w:val="00BD0CB8"/>
    <w:rsid w:val="00BD1E0F"/>
    <w:rsid w:val="00BD5440"/>
    <w:rsid w:val="00BE019D"/>
    <w:rsid w:val="00BE05B8"/>
    <w:rsid w:val="00BE0D3E"/>
    <w:rsid w:val="00BE2D3E"/>
    <w:rsid w:val="00BE2E9E"/>
    <w:rsid w:val="00BE7858"/>
    <w:rsid w:val="00BE7C2B"/>
    <w:rsid w:val="00BF0840"/>
    <w:rsid w:val="00BF0DBD"/>
    <w:rsid w:val="00BF0FFF"/>
    <w:rsid w:val="00BF1F54"/>
    <w:rsid w:val="00BF22E5"/>
    <w:rsid w:val="00BF4B05"/>
    <w:rsid w:val="00BF7FAE"/>
    <w:rsid w:val="00C0178B"/>
    <w:rsid w:val="00C030A2"/>
    <w:rsid w:val="00C03238"/>
    <w:rsid w:val="00C154B6"/>
    <w:rsid w:val="00C177A7"/>
    <w:rsid w:val="00C17CAF"/>
    <w:rsid w:val="00C17D0E"/>
    <w:rsid w:val="00C21A93"/>
    <w:rsid w:val="00C21C7D"/>
    <w:rsid w:val="00C21D4F"/>
    <w:rsid w:val="00C22598"/>
    <w:rsid w:val="00C24676"/>
    <w:rsid w:val="00C2488E"/>
    <w:rsid w:val="00C267F6"/>
    <w:rsid w:val="00C27F04"/>
    <w:rsid w:val="00C35E6A"/>
    <w:rsid w:val="00C3792E"/>
    <w:rsid w:val="00C411B1"/>
    <w:rsid w:val="00C45D29"/>
    <w:rsid w:val="00C5203F"/>
    <w:rsid w:val="00C5333D"/>
    <w:rsid w:val="00C56B06"/>
    <w:rsid w:val="00C57C39"/>
    <w:rsid w:val="00C57FBF"/>
    <w:rsid w:val="00C6322F"/>
    <w:rsid w:val="00C63274"/>
    <w:rsid w:val="00C7118F"/>
    <w:rsid w:val="00C843F2"/>
    <w:rsid w:val="00C87179"/>
    <w:rsid w:val="00C94575"/>
    <w:rsid w:val="00C97464"/>
    <w:rsid w:val="00C9793F"/>
    <w:rsid w:val="00CA59F7"/>
    <w:rsid w:val="00CA5B8C"/>
    <w:rsid w:val="00CA65BF"/>
    <w:rsid w:val="00CA707E"/>
    <w:rsid w:val="00CB1E41"/>
    <w:rsid w:val="00CB31D1"/>
    <w:rsid w:val="00CB4DC5"/>
    <w:rsid w:val="00CB6B2C"/>
    <w:rsid w:val="00CC0143"/>
    <w:rsid w:val="00CD41AD"/>
    <w:rsid w:val="00CD4E45"/>
    <w:rsid w:val="00CD66C0"/>
    <w:rsid w:val="00CD6841"/>
    <w:rsid w:val="00CD7893"/>
    <w:rsid w:val="00CE75DC"/>
    <w:rsid w:val="00CF14D0"/>
    <w:rsid w:val="00CF1C00"/>
    <w:rsid w:val="00CF508C"/>
    <w:rsid w:val="00CF652E"/>
    <w:rsid w:val="00D01584"/>
    <w:rsid w:val="00D02589"/>
    <w:rsid w:val="00D032CF"/>
    <w:rsid w:val="00D03A45"/>
    <w:rsid w:val="00D0572F"/>
    <w:rsid w:val="00D131FF"/>
    <w:rsid w:val="00D13F7E"/>
    <w:rsid w:val="00D14F6F"/>
    <w:rsid w:val="00D160E1"/>
    <w:rsid w:val="00D2081D"/>
    <w:rsid w:val="00D22E74"/>
    <w:rsid w:val="00D261DD"/>
    <w:rsid w:val="00D368FB"/>
    <w:rsid w:val="00D4646E"/>
    <w:rsid w:val="00D46C22"/>
    <w:rsid w:val="00D5000A"/>
    <w:rsid w:val="00D50596"/>
    <w:rsid w:val="00D55C8C"/>
    <w:rsid w:val="00D61CC6"/>
    <w:rsid w:val="00D62921"/>
    <w:rsid w:val="00D642C2"/>
    <w:rsid w:val="00D64BCD"/>
    <w:rsid w:val="00D672A5"/>
    <w:rsid w:val="00D724AA"/>
    <w:rsid w:val="00D772E9"/>
    <w:rsid w:val="00D775E5"/>
    <w:rsid w:val="00D81010"/>
    <w:rsid w:val="00D854E0"/>
    <w:rsid w:val="00D8582F"/>
    <w:rsid w:val="00D95AF8"/>
    <w:rsid w:val="00D96776"/>
    <w:rsid w:val="00D977F2"/>
    <w:rsid w:val="00D97D9A"/>
    <w:rsid w:val="00DA1628"/>
    <w:rsid w:val="00DA1D59"/>
    <w:rsid w:val="00DA1E8E"/>
    <w:rsid w:val="00DA29A7"/>
    <w:rsid w:val="00DA534F"/>
    <w:rsid w:val="00DB5015"/>
    <w:rsid w:val="00DB5443"/>
    <w:rsid w:val="00DB5C2D"/>
    <w:rsid w:val="00DB7170"/>
    <w:rsid w:val="00DC55B4"/>
    <w:rsid w:val="00DD4CE4"/>
    <w:rsid w:val="00DD5081"/>
    <w:rsid w:val="00DE1D56"/>
    <w:rsid w:val="00DF433E"/>
    <w:rsid w:val="00DF5670"/>
    <w:rsid w:val="00DF5942"/>
    <w:rsid w:val="00DF635C"/>
    <w:rsid w:val="00DF74A2"/>
    <w:rsid w:val="00DF7A4F"/>
    <w:rsid w:val="00E011D5"/>
    <w:rsid w:val="00E05B28"/>
    <w:rsid w:val="00E11047"/>
    <w:rsid w:val="00E13CE1"/>
    <w:rsid w:val="00E1414D"/>
    <w:rsid w:val="00E14465"/>
    <w:rsid w:val="00E14640"/>
    <w:rsid w:val="00E16421"/>
    <w:rsid w:val="00E16712"/>
    <w:rsid w:val="00E26279"/>
    <w:rsid w:val="00E3389C"/>
    <w:rsid w:val="00E361AE"/>
    <w:rsid w:val="00E50428"/>
    <w:rsid w:val="00E54B60"/>
    <w:rsid w:val="00E554CE"/>
    <w:rsid w:val="00E55B3B"/>
    <w:rsid w:val="00E56F9F"/>
    <w:rsid w:val="00E5794C"/>
    <w:rsid w:val="00E6118F"/>
    <w:rsid w:val="00E62513"/>
    <w:rsid w:val="00E66A38"/>
    <w:rsid w:val="00E678D6"/>
    <w:rsid w:val="00E7337A"/>
    <w:rsid w:val="00E75AE5"/>
    <w:rsid w:val="00E76149"/>
    <w:rsid w:val="00E80000"/>
    <w:rsid w:val="00E82F0A"/>
    <w:rsid w:val="00E83F42"/>
    <w:rsid w:val="00E84276"/>
    <w:rsid w:val="00E84621"/>
    <w:rsid w:val="00E87A3E"/>
    <w:rsid w:val="00E917D0"/>
    <w:rsid w:val="00E9472C"/>
    <w:rsid w:val="00E94A12"/>
    <w:rsid w:val="00EA5402"/>
    <w:rsid w:val="00EB2EF9"/>
    <w:rsid w:val="00EC1770"/>
    <w:rsid w:val="00EC2CB1"/>
    <w:rsid w:val="00EC5BA7"/>
    <w:rsid w:val="00ED3135"/>
    <w:rsid w:val="00EE0054"/>
    <w:rsid w:val="00EE1D94"/>
    <w:rsid w:val="00EE27DE"/>
    <w:rsid w:val="00EE3336"/>
    <w:rsid w:val="00EE4472"/>
    <w:rsid w:val="00EE480C"/>
    <w:rsid w:val="00EF1653"/>
    <w:rsid w:val="00EF2FB5"/>
    <w:rsid w:val="00EF3DDF"/>
    <w:rsid w:val="00EF4819"/>
    <w:rsid w:val="00F00B43"/>
    <w:rsid w:val="00F01257"/>
    <w:rsid w:val="00F0159E"/>
    <w:rsid w:val="00F025D3"/>
    <w:rsid w:val="00F05BF9"/>
    <w:rsid w:val="00F06282"/>
    <w:rsid w:val="00F062F8"/>
    <w:rsid w:val="00F07371"/>
    <w:rsid w:val="00F11DA3"/>
    <w:rsid w:val="00F1248A"/>
    <w:rsid w:val="00F14D7D"/>
    <w:rsid w:val="00F20096"/>
    <w:rsid w:val="00F21E99"/>
    <w:rsid w:val="00F22043"/>
    <w:rsid w:val="00F22B0A"/>
    <w:rsid w:val="00F26B80"/>
    <w:rsid w:val="00F37739"/>
    <w:rsid w:val="00F469D5"/>
    <w:rsid w:val="00F47195"/>
    <w:rsid w:val="00F4778A"/>
    <w:rsid w:val="00F5408F"/>
    <w:rsid w:val="00F601EE"/>
    <w:rsid w:val="00F60F1B"/>
    <w:rsid w:val="00F6315E"/>
    <w:rsid w:val="00F65273"/>
    <w:rsid w:val="00F670F3"/>
    <w:rsid w:val="00F6767F"/>
    <w:rsid w:val="00F73A06"/>
    <w:rsid w:val="00F73CA9"/>
    <w:rsid w:val="00F75357"/>
    <w:rsid w:val="00F76B66"/>
    <w:rsid w:val="00F7712E"/>
    <w:rsid w:val="00F80694"/>
    <w:rsid w:val="00F816A9"/>
    <w:rsid w:val="00F92E14"/>
    <w:rsid w:val="00F9413E"/>
    <w:rsid w:val="00F973F0"/>
    <w:rsid w:val="00FA5B2C"/>
    <w:rsid w:val="00FA6900"/>
    <w:rsid w:val="00FB03D9"/>
    <w:rsid w:val="00FB05EE"/>
    <w:rsid w:val="00FB1E31"/>
    <w:rsid w:val="00FB20FD"/>
    <w:rsid w:val="00FB4F56"/>
    <w:rsid w:val="00FC1B87"/>
    <w:rsid w:val="00FC571A"/>
    <w:rsid w:val="00FC6EBE"/>
    <w:rsid w:val="00FC7D47"/>
    <w:rsid w:val="00FD09E1"/>
    <w:rsid w:val="00FD142F"/>
    <w:rsid w:val="00FD18FF"/>
    <w:rsid w:val="00FD1E29"/>
    <w:rsid w:val="00FD3F6A"/>
    <w:rsid w:val="00FD4590"/>
    <w:rsid w:val="00FD4B43"/>
    <w:rsid w:val="00FD5C79"/>
    <w:rsid w:val="00FE0A68"/>
    <w:rsid w:val="00FE14A3"/>
    <w:rsid w:val="00FE2682"/>
    <w:rsid w:val="00FE7271"/>
    <w:rsid w:val="00FF5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3044"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6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bs">
    <w:name w:val="Header (Abs."/>
    <w:aliases w:val="Ref.,Ack.)"/>
    <w:basedOn w:val="Heading1"/>
    <w:rsid w:val="004066C1"/>
    <w:pPr>
      <w:spacing w:after="240"/>
    </w:pPr>
    <w:rPr>
      <w:rFonts w:ascii="Times New Roman" w:eastAsia="Times New Roman" w:hAnsi="Times New Roman" w:cs="Times New Roman"/>
      <w:bCs w:val="0"/>
      <w:caps/>
      <w:kern w:val="0"/>
      <w:sz w:val="24"/>
      <w:szCs w:val="20"/>
    </w:rPr>
  </w:style>
  <w:style w:type="paragraph" w:customStyle="1" w:styleId="Reference">
    <w:name w:val="Reference"/>
    <w:basedOn w:val="Normal"/>
    <w:rsid w:val="004066C1"/>
    <w:pPr>
      <w:numPr>
        <w:numId w:val="1"/>
      </w:numPr>
      <w:spacing w:after="240"/>
    </w:pPr>
    <w:rPr>
      <w:rFonts w:ascii="Times New Roman" w:hAnsi="Times New Roman"/>
      <w:lang w:val="en-GB"/>
    </w:rPr>
  </w:style>
  <w:style w:type="paragraph" w:customStyle="1" w:styleId="Header1">
    <w:name w:val="Header 1"/>
    <w:basedOn w:val="Normal"/>
    <w:rsid w:val="00912855"/>
    <w:pPr>
      <w:spacing w:after="40" w:line="240" w:lineRule="exact"/>
      <w:jc w:val="both"/>
    </w:pPr>
    <w:rPr>
      <w:b/>
    </w:rPr>
  </w:style>
  <w:style w:type="paragraph" w:customStyle="1" w:styleId="Header2">
    <w:name w:val="Header 2"/>
    <w:basedOn w:val="Header1"/>
    <w:rsid w:val="00E75AE5"/>
    <w:rPr>
      <w:sz w:val="18"/>
    </w:rPr>
  </w:style>
  <w:style w:type="paragraph" w:customStyle="1" w:styleId="Body">
    <w:name w:val="Body"/>
    <w:basedOn w:val="Normal"/>
    <w:rsid w:val="00D261DD"/>
    <w:pPr>
      <w:spacing w:after="120" w:line="240" w:lineRule="exact"/>
      <w:jc w:val="both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6C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9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96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594696"/>
    <w:pPr>
      <w:spacing w:after="120"/>
      <w:ind w:firstLine="567"/>
      <w:jc w:val="both"/>
    </w:pPr>
    <w:rPr>
      <w:rFonts w:ascii="Times New Roman" w:hAnsi="Times New Roman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4696"/>
    <w:rPr>
      <w:rFonts w:ascii="Times New Roman" w:hAnsi="Times New Roman" w:cs="Times New Roman"/>
      <w:sz w:val="16"/>
      <w:lang w:eastAsia="en-US"/>
    </w:rPr>
  </w:style>
  <w:style w:type="paragraph" w:customStyle="1" w:styleId="FigureCaption">
    <w:name w:val="Figure_Caption"/>
    <w:basedOn w:val="Normal"/>
    <w:rsid w:val="00594696"/>
    <w:pPr>
      <w:spacing w:before="120" w:after="120"/>
      <w:jc w:val="center"/>
    </w:pPr>
    <w:rPr>
      <w:rFonts w:ascii="Times New Roman" w:hAnsi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F92E14"/>
    <w:pPr>
      <w:keepNext/>
      <w:spacing w:before="240" w:after="120"/>
      <w:jc w:val="center"/>
    </w:pPr>
    <w:rPr>
      <w:rFonts w:ascii="Verdana" w:hAnsi="Verdana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594696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33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5081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2598"/>
    <w:pPr>
      <w:spacing w:after="200"/>
    </w:pPr>
    <w:rPr>
      <w:rFonts w:ascii="Verdana" w:hAnsi="Verdana"/>
      <w:i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3044"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6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bs">
    <w:name w:val="Header (Abs."/>
    <w:aliases w:val="Ref.,Ack.)"/>
    <w:basedOn w:val="Heading1"/>
    <w:rsid w:val="004066C1"/>
    <w:pPr>
      <w:spacing w:after="240"/>
    </w:pPr>
    <w:rPr>
      <w:rFonts w:ascii="Times New Roman" w:eastAsia="Times New Roman" w:hAnsi="Times New Roman" w:cs="Times New Roman"/>
      <w:bCs w:val="0"/>
      <w:caps/>
      <w:kern w:val="0"/>
      <w:sz w:val="24"/>
      <w:szCs w:val="20"/>
    </w:rPr>
  </w:style>
  <w:style w:type="paragraph" w:customStyle="1" w:styleId="Reference">
    <w:name w:val="Reference"/>
    <w:basedOn w:val="Normal"/>
    <w:rsid w:val="004066C1"/>
    <w:pPr>
      <w:numPr>
        <w:numId w:val="1"/>
      </w:numPr>
      <w:spacing w:after="240"/>
    </w:pPr>
    <w:rPr>
      <w:rFonts w:ascii="Times New Roman" w:hAnsi="Times New Roman"/>
      <w:lang w:val="en-GB"/>
    </w:rPr>
  </w:style>
  <w:style w:type="paragraph" w:customStyle="1" w:styleId="Header1">
    <w:name w:val="Header 1"/>
    <w:basedOn w:val="Normal"/>
    <w:rsid w:val="00912855"/>
    <w:pPr>
      <w:spacing w:after="40" w:line="240" w:lineRule="exact"/>
      <w:jc w:val="both"/>
    </w:pPr>
    <w:rPr>
      <w:b/>
    </w:rPr>
  </w:style>
  <w:style w:type="paragraph" w:customStyle="1" w:styleId="Header2">
    <w:name w:val="Header 2"/>
    <w:basedOn w:val="Header1"/>
    <w:rsid w:val="00E75AE5"/>
    <w:rPr>
      <w:sz w:val="18"/>
    </w:rPr>
  </w:style>
  <w:style w:type="paragraph" w:customStyle="1" w:styleId="Body">
    <w:name w:val="Body"/>
    <w:basedOn w:val="Normal"/>
    <w:rsid w:val="00D261DD"/>
    <w:pPr>
      <w:spacing w:after="120" w:line="240" w:lineRule="exact"/>
      <w:jc w:val="both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6C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9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96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594696"/>
    <w:pPr>
      <w:spacing w:after="120"/>
      <w:ind w:firstLine="567"/>
      <w:jc w:val="both"/>
    </w:pPr>
    <w:rPr>
      <w:rFonts w:ascii="Times New Roman" w:hAnsi="Times New Roman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4696"/>
    <w:rPr>
      <w:rFonts w:ascii="Times New Roman" w:hAnsi="Times New Roman" w:cs="Times New Roman"/>
      <w:sz w:val="16"/>
      <w:lang w:eastAsia="en-US"/>
    </w:rPr>
  </w:style>
  <w:style w:type="paragraph" w:customStyle="1" w:styleId="FigureCaption">
    <w:name w:val="Figure_Caption"/>
    <w:basedOn w:val="Normal"/>
    <w:rsid w:val="00594696"/>
    <w:pPr>
      <w:spacing w:before="120" w:after="120"/>
      <w:jc w:val="center"/>
    </w:pPr>
    <w:rPr>
      <w:rFonts w:ascii="Times New Roman" w:hAnsi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F92E14"/>
    <w:pPr>
      <w:keepNext/>
      <w:spacing w:before="240" w:after="120"/>
      <w:jc w:val="center"/>
    </w:pPr>
    <w:rPr>
      <w:rFonts w:ascii="Verdana" w:hAnsi="Verdana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594696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33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5081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2598"/>
    <w:pPr>
      <w:spacing w:after="200"/>
    </w:pPr>
    <w:rPr>
      <w:rFonts w:ascii="Verdana" w:hAnsi="Verdana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chung\Google%20Drive\Teaching_PolyU\Projects\2017_Jul_IMA_Conference\Conference_Paper\Copy%20of%20Survey%20on%20AMA%20e-books%20(smester%202)_2016_5_13%20-(updated%202017-5-18)_Kh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chung\Google%20Drive\Teaching_PolyU\Projects\2017_Jul_IMA_Conference\Conference_Paper\Copy%20of%20Survey%20on%20AMA%20e-books%20(smester%202)_2016_5_13%20-(updated%202017-5-18)_Kh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'raw data (2)'!$AM$157</c:f>
              <c:strCache>
                <c:ptCount val="1"/>
                <c:pt idx="0">
                  <c:v>Always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(2)'!$AN$157:$AT$157</c:f>
              <c:numCache>
                <c:formatCode>0.0%</c:formatCode>
                <c:ptCount val="7"/>
                <c:pt idx="0">
                  <c:v>5.4794520547945202E-2</c:v>
                </c:pt>
                <c:pt idx="1">
                  <c:v>9.5890410958904104E-2</c:v>
                </c:pt>
                <c:pt idx="2">
                  <c:v>0.13698630136986301</c:v>
                </c:pt>
                <c:pt idx="3">
                  <c:v>8.2191780821917804E-2</c:v>
                </c:pt>
                <c:pt idx="4">
                  <c:v>4.1095890410958902E-2</c:v>
                </c:pt>
                <c:pt idx="5">
                  <c:v>0.1095890410958904</c:v>
                </c:pt>
                <c:pt idx="6">
                  <c:v>2.7397260273972601E-2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B9-4015-9F12-EDAA50FC92AF}"/>
            </c:ext>
          </c:extLst>
        </c:ser>
        <c:ser>
          <c:idx val="1"/>
          <c:order val="1"/>
          <c:tx>
            <c:strRef>
              <c:f>'raw data (2)'!$AM$158</c:f>
              <c:strCache>
                <c:ptCount val="1"/>
                <c:pt idx="0">
                  <c:v>Often </c:v>
                </c:pt>
              </c:strCache>
            </c:strRef>
          </c:tx>
          <c:spPr>
            <a:pattFill prst="wdDnDiag">
              <a:fgClr>
                <a:srgbClr val="0070C0"/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(2)'!$AN$158:$AT$158</c:f>
              <c:numCache>
                <c:formatCode>0.0%</c:formatCode>
                <c:ptCount val="7"/>
                <c:pt idx="0">
                  <c:v>9.5890410958904104E-2</c:v>
                </c:pt>
                <c:pt idx="1">
                  <c:v>0.15068493150684931</c:v>
                </c:pt>
                <c:pt idx="2">
                  <c:v>0.20547945205479451</c:v>
                </c:pt>
                <c:pt idx="3">
                  <c:v>0.12328767123287671</c:v>
                </c:pt>
                <c:pt idx="4">
                  <c:v>0.16438356164383561</c:v>
                </c:pt>
                <c:pt idx="5">
                  <c:v>0.21917808219178081</c:v>
                </c:pt>
                <c:pt idx="6">
                  <c:v>0.12328767123287671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B9-4015-9F12-EDAA50FC92AF}"/>
            </c:ext>
          </c:extLst>
        </c:ser>
        <c:ser>
          <c:idx val="2"/>
          <c:order val="2"/>
          <c:tx>
            <c:strRef>
              <c:f>'raw data (2)'!$AM$159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(2)'!$AN$159:$AT$159</c:f>
              <c:numCache>
                <c:formatCode>0.0%</c:formatCode>
                <c:ptCount val="7"/>
                <c:pt idx="0">
                  <c:v>0.31506849315068491</c:v>
                </c:pt>
                <c:pt idx="1">
                  <c:v>0.27397260273972601</c:v>
                </c:pt>
                <c:pt idx="2">
                  <c:v>0.26027397260273971</c:v>
                </c:pt>
                <c:pt idx="3">
                  <c:v>0.39726027397260272</c:v>
                </c:pt>
                <c:pt idx="4">
                  <c:v>0.34246575342465752</c:v>
                </c:pt>
                <c:pt idx="5">
                  <c:v>0.30136986301369861</c:v>
                </c:pt>
                <c:pt idx="6">
                  <c:v>0.27397260273972601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B9-4015-9F12-EDAA50FC92AF}"/>
            </c:ext>
          </c:extLst>
        </c:ser>
        <c:ser>
          <c:idx val="3"/>
          <c:order val="3"/>
          <c:tx>
            <c:strRef>
              <c:f>'raw data (2)'!$AM$160</c:f>
              <c:strCache>
                <c:ptCount val="1"/>
                <c:pt idx="0">
                  <c:v>Rare</c:v>
                </c:pt>
              </c:strCache>
            </c:strRef>
          </c:tx>
          <c:spPr>
            <a:pattFill prst="wdUpDiag">
              <a:fgClr>
                <a:srgbClr val="7030A0"/>
              </a:fgClr>
              <a:bgClr>
                <a:schemeClr val="bg1"/>
              </a:bgClr>
            </a:pattFill>
            <a:ln>
              <a:solidFill>
                <a:srgbClr val="7030A0"/>
              </a:solidFill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(2)'!$AN$160:$AT$160</c:f>
              <c:numCache>
                <c:formatCode>0.0%</c:formatCode>
                <c:ptCount val="7"/>
                <c:pt idx="0">
                  <c:v>0.23287671232876711</c:v>
                </c:pt>
                <c:pt idx="1">
                  <c:v>0.23287671232876711</c:v>
                </c:pt>
                <c:pt idx="2">
                  <c:v>0.16438356164383561</c:v>
                </c:pt>
                <c:pt idx="3">
                  <c:v>0.19178082191780821</c:v>
                </c:pt>
                <c:pt idx="4">
                  <c:v>0.19178082191780821</c:v>
                </c:pt>
                <c:pt idx="5">
                  <c:v>0.15068493150684931</c:v>
                </c:pt>
                <c:pt idx="6">
                  <c:v>0.19178082191780821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B9-4015-9F12-EDAA50FC92AF}"/>
            </c:ext>
          </c:extLst>
        </c:ser>
        <c:ser>
          <c:idx val="4"/>
          <c:order val="4"/>
          <c:tx>
            <c:strRef>
              <c:f>'raw data (2)'!$AM$161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5">
                  <a:lumMod val="40000"/>
                  <a:lumOff val="60000"/>
                </a:schemeClr>
              </a:solidFill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(2)'!$AN$161:$AT$161</c:f>
              <c:numCache>
                <c:formatCode>0.0%</c:formatCode>
                <c:ptCount val="7"/>
                <c:pt idx="0">
                  <c:v>0.28767123287671231</c:v>
                </c:pt>
                <c:pt idx="1">
                  <c:v>0.23287671232876711</c:v>
                </c:pt>
                <c:pt idx="2">
                  <c:v>0.21917808219178081</c:v>
                </c:pt>
                <c:pt idx="3">
                  <c:v>0.20547945205479451</c:v>
                </c:pt>
                <c:pt idx="4">
                  <c:v>0.24657534246575341</c:v>
                </c:pt>
                <c:pt idx="5">
                  <c:v>0.20547945205479451</c:v>
                </c:pt>
                <c:pt idx="6">
                  <c:v>0.36986301369863012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AB9-4015-9F12-EDAA50FC92AF}"/>
            </c:ext>
          </c:extLst>
        </c:ser>
        <c:ser>
          <c:idx val="5"/>
          <c:order val="5"/>
          <c:tx>
            <c:strRef>
              <c:f>'raw data (2)'!$AM$162</c:f>
              <c:strCache>
                <c:ptCount val="1"/>
                <c:pt idx="0">
                  <c:v>Unanswered</c:v>
                </c:pt>
              </c:strCache>
            </c:strRef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'raw data (2)'!$AN$156:$AT$156</c:f>
              <c:strCache>
                <c:ptCount val="7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  <c:pt idx="4">
                  <c:v>(e)</c:v>
                </c:pt>
                <c:pt idx="5">
                  <c:v>(f)</c:v>
                </c:pt>
                <c:pt idx="6">
                  <c:v>(g)</c:v>
                </c:pt>
              </c:strCache>
            </c:strRef>
          </c:cat>
          <c:val>
            <c:numRef>
              <c:f>'raw data (2)'!$AN$162:$AT$162</c:f>
              <c:numCache>
                <c:formatCode>0.0%</c:formatCode>
                <c:ptCount val="7"/>
                <c:pt idx="0">
                  <c:v>1.3698630136986301E-2</c:v>
                </c:pt>
                <c:pt idx="1">
                  <c:v>1.3698630136986301E-2</c:v>
                </c:pt>
                <c:pt idx="2">
                  <c:v>1.3698630136986301E-2</c:v>
                </c:pt>
                <c:pt idx="3">
                  <c:v>0</c:v>
                </c:pt>
                <c:pt idx="4">
                  <c:v>1.3698630136986301E-2</c:v>
                </c:pt>
                <c:pt idx="5">
                  <c:v>1.3698630136986301E-2</c:v>
                </c:pt>
                <c:pt idx="6">
                  <c:v>1.3698630136986301E-2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AB9-4015-9F12-EDAA50FC9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189440"/>
        <c:axId val="194504960"/>
      </c:barChart>
      <c:catAx>
        <c:axId val="2081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504960"/>
        <c:crosses val="autoZero"/>
        <c:auto val="1"/>
        <c:lblAlgn val="ctr"/>
        <c:lblOffset val="100"/>
        <c:noMultiLvlLbl val="0"/>
      </c:catAx>
      <c:valAx>
        <c:axId val="19450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8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'raw data (2)'!$AV$157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(2)'!$AW$157:$AZ$157</c:f>
              <c:numCache>
                <c:formatCode>0.0%</c:formatCode>
                <c:ptCount val="4"/>
                <c:pt idx="0">
                  <c:v>6.8493150684931503E-2</c:v>
                </c:pt>
                <c:pt idx="1">
                  <c:v>5.4794520547945202E-2</c:v>
                </c:pt>
                <c:pt idx="2">
                  <c:v>5.4794520547945202E-2</c:v>
                </c:pt>
                <c:pt idx="3">
                  <c:v>9.5890410958904104E-2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3E-4F56-A337-B1CCD9901D8E}"/>
            </c:ext>
          </c:extLst>
        </c:ser>
        <c:ser>
          <c:idx val="1"/>
          <c:order val="1"/>
          <c:tx>
            <c:strRef>
              <c:f>'raw data (2)'!$AV$158</c:f>
              <c:strCache>
                <c:ptCount val="1"/>
                <c:pt idx="0">
                  <c:v>Agree</c:v>
                </c:pt>
              </c:strCache>
            </c:strRef>
          </c:tx>
          <c:spPr>
            <a:pattFill prst="wdDnDiag">
              <a:fgClr>
                <a:srgbClr val="FFC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(2)'!$AW$158:$AZ$158</c:f>
              <c:numCache>
                <c:formatCode>0.0%</c:formatCode>
                <c:ptCount val="4"/>
                <c:pt idx="0">
                  <c:v>0.31506849315068491</c:v>
                </c:pt>
                <c:pt idx="1">
                  <c:v>0.41095890410958902</c:v>
                </c:pt>
                <c:pt idx="2">
                  <c:v>0.21917808219178081</c:v>
                </c:pt>
                <c:pt idx="3">
                  <c:v>0.30136986301369861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3E-4F56-A337-B1CCD9901D8E}"/>
            </c:ext>
          </c:extLst>
        </c:ser>
        <c:ser>
          <c:idx val="2"/>
          <c:order val="2"/>
          <c:tx>
            <c:strRef>
              <c:f>'raw data (2)'!$AV$159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(2)'!$AW$159:$AZ$159</c:f>
              <c:numCache>
                <c:formatCode>0.0%</c:formatCode>
                <c:ptCount val="4"/>
                <c:pt idx="0">
                  <c:v>0.50684931506849318</c:v>
                </c:pt>
                <c:pt idx="1">
                  <c:v>0.42465753424657532</c:v>
                </c:pt>
                <c:pt idx="2">
                  <c:v>0.46575342465753422</c:v>
                </c:pt>
                <c:pt idx="3">
                  <c:v>0.41095890410958902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3E-4F56-A337-B1CCD9901D8E}"/>
            </c:ext>
          </c:extLst>
        </c:ser>
        <c:ser>
          <c:idx val="3"/>
          <c:order val="3"/>
          <c:tx>
            <c:strRef>
              <c:f>'raw data (2)'!$AV$160</c:f>
              <c:strCache>
                <c:ptCount val="1"/>
                <c:pt idx="0">
                  <c:v>Disagree</c:v>
                </c:pt>
              </c:strCache>
            </c:strRef>
          </c:tx>
          <c:spPr>
            <a:pattFill prst="smGrid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(2)'!$AW$160:$AZ$160</c:f>
              <c:numCache>
                <c:formatCode>0.0%</c:formatCode>
                <c:ptCount val="4"/>
                <c:pt idx="0">
                  <c:v>6.8493150684931503E-2</c:v>
                </c:pt>
                <c:pt idx="1">
                  <c:v>5.4794520547945202E-2</c:v>
                </c:pt>
                <c:pt idx="2">
                  <c:v>0.16438356164383561</c:v>
                </c:pt>
                <c:pt idx="3">
                  <c:v>9.5890410958904104E-2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3E-4F56-A337-B1CCD9901D8E}"/>
            </c:ext>
          </c:extLst>
        </c:ser>
        <c:ser>
          <c:idx val="4"/>
          <c:order val="4"/>
          <c:tx>
            <c:strRef>
              <c:f>'raw data (2)'!$AV$161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(2)'!$AW$161:$AZ$161</c:f>
              <c:numCache>
                <c:formatCode>0.0%</c:formatCode>
                <c:ptCount val="4"/>
                <c:pt idx="0">
                  <c:v>1.3698630136986301E-2</c:v>
                </c:pt>
                <c:pt idx="1">
                  <c:v>2.7397260273972601E-2</c:v>
                </c:pt>
                <c:pt idx="2">
                  <c:v>6.8493150684931503E-2</c:v>
                </c:pt>
                <c:pt idx="3">
                  <c:v>8.2191780821917804E-2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3E-4F56-A337-B1CCD9901D8E}"/>
            </c:ext>
          </c:extLst>
        </c:ser>
        <c:ser>
          <c:idx val="5"/>
          <c:order val="5"/>
          <c:tx>
            <c:strRef>
              <c:f>'raw data (2)'!$AV$162</c:f>
              <c:strCache>
                <c:ptCount val="1"/>
                <c:pt idx="0">
                  <c:v>Unanswered</c:v>
                </c:pt>
              </c:strCache>
            </c:strRef>
          </c:tx>
          <c:spPr>
            <a:pattFill prst="wdUpDi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'raw data (2)'!$AW$156:$AZ$156</c:f>
              <c:strCache>
                <c:ptCount val="4"/>
                <c:pt idx="0">
                  <c:v>(a)</c:v>
                </c:pt>
                <c:pt idx="1">
                  <c:v>(b)</c:v>
                </c:pt>
                <c:pt idx="2">
                  <c:v>(c)</c:v>
                </c:pt>
                <c:pt idx="3">
                  <c:v>(d)</c:v>
                </c:pt>
              </c:strCache>
            </c:strRef>
          </c:cat>
          <c:val>
            <c:numRef>
              <c:f>'raw data (2)'!$AW$162:$AZ$162</c:f>
              <c:numCache>
                <c:formatCode>0.0%</c:formatCode>
                <c:ptCount val="4"/>
                <c:pt idx="0">
                  <c:v>2.7397260273972601E-2</c:v>
                </c:pt>
                <c:pt idx="1">
                  <c:v>2.7397260273972601E-2</c:v>
                </c:pt>
                <c:pt idx="2">
                  <c:v>2.7397260273972601E-2</c:v>
                </c:pt>
                <c:pt idx="3">
                  <c:v>1.3698630136986301E-2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3E-4F56-A337-B1CCD9901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272064"/>
        <c:axId val="194508416"/>
      </c:barChart>
      <c:catAx>
        <c:axId val="1972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508416"/>
        <c:crosses val="autoZero"/>
        <c:auto val="1"/>
        <c:lblAlgn val="ctr"/>
        <c:lblOffset val="100"/>
        <c:noMultiLvlLbl val="0"/>
      </c:catAx>
      <c:valAx>
        <c:axId val="19450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7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FE89-96D9-429F-829D-7822669E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for USENIX Conference Paper: Sample First Page</vt:lpstr>
    </vt:vector>
  </TitlesOfParts>
  <Company>usenix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for USENIX Conference Paper: Sample First Page</dc:title>
  <dc:creator>Eileen Cohen</dc:creator>
  <cp:lastModifiedBy>Dorothy</cp:lastModifiedBy>
  <cp:revision>69</cp:revision>
  <cp:lastPrinted>2017-05-27T06:13:00Z</cp:lastPrinted>
  <dcterms:created xsi:type="dcterms:W3CDTF">2017-05-18T12:59:00Z</dcterms:created>
  <dcterms:modified xsi:type="dcterms:W3CDTF">2017-05-28T13:07:00Z</dcterms:modified>
</cp:coreProperties>
</file>