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3DE62" w14:textId="77777777" w:rsidR="00847F3A" w:rsidRPr="0065476B" w:rsidRDefault="00847F3A" w:rsidP="00847F3A">
      <w:pPr>
        <w:jc w:val="center"/>
        <w:rPr>
          <w:rFonts w:cstheme="minorHAnsi"/>
          <w:sz w:val="28"/>
        </w:rPr>
      </w:pPr>
    </w:p>
    <w:p w14:paraId="1C3DEC59" w14:textId="77777777" w:rsidR="00A710F6" w:rsidRPr="00A710F6" w:rsidRDefault="00A710F6" w:rsidP="00A710F6">
      <w:pPr>
        <w:jc w:val="center"/>
        <w:rPr>
          <w:rFonts w:ascii="Verdana" w:hAnsi="Verdana"/>
          <w:b/>
          <w:color w:val="000000"/>
          <w:sz w:val="28"/>
        </w:rPr>
      </w:pPr>
      <w:r w:rsidRPr="00A710F6">
        <w:rPr>
          <w:rFonts w:ascii="Verdana" w:hAnsi="Verdana"/>
          <w:b/>
          <w:color w:val="000000"/>
          <w:sz w:val="28"/>
        </w:rPr>
        <w:t>Mathematics Support: promoting student learning and some factors that may work against student learning</w:t>
      </w:r>
    </w:p>
    <w:p w14:paraId="44F283F2" w14:textId="77777777" w:rsidR="00F973F0" w:rsidRPr="004066C1" w:rsidRDefault="00F973F0">
      <w:pPr>
        <w:jc w:val="center"/>
        <w:rPr>
          <w:rFonts w:ascii="Verdana" w:hAnsi="Verdana"/>
          <w:color w:val="000000"/>
        </w:rPr>
      </w:pPr>
    </w:p>
    <w:p w14:paraId="072DD8CB" w14:textId="77777777" w:rsidR="00A710F6" w:rsidRPr="00A710F6" w:rsidRDefault="00A710F6" w:rsidP="00A710F6">
      <w:pPr>
        <w:jc w:val="center"/>
        <w:rPr>
          <w:rFonts w:ascii="Verdana" w:hAnsi="Verdana"/>
          <w:i/>
          <w:color w:val="000000"/>
        </w:rPr>
      </w:pPr>
      <w:r w:rsidRPr="00A710F6">
        <w:rPr>
          <w:rFonts w:ascii="Verdana" w:hAnsi="Verdana"/>
          <w:color w:val="000000"/>
        </w:rPr>
        <w:t xml:space="preserve">Jackie Nicholas, </w:t>
      </w:r>
      <w:r w:rsidRPr="00A710F6">
        <w:rPr>
          <w:rFonts w:ascii="Verdana" w:hAnsi="Verdana"/>
          <w:i/>
          <w:color w:val="000000"/>
        </w:rPr>
        <w:t>University of Sydney</w:t>
      </w:r>
    </w:p>
    <w:p w14:paraId="2FC2A98C" w14:textId="7AB25BD0" w:rsidR="00E75AE5" w:rsidRPr="004066C1" w:rsidRDefault="00A710F6" w:rsidP="00A710F6">
      <w:pPr>
        <w:jc w:val="center"/>
        <w:rPr>
          <w:rFonts w:ascii="Verdana" w:hAnsi="Verdana"/>
          <w:color w:val="000000"/>
        </w:rPr>
      </w:pPr>
      <w:r w:rsidRPr="00A710F6">
        <w:rPr>
          <w:rFonts w:ascii="Verdana" w:hAnsi="Verdana"/>
          <w:color w:val="000000"/>
        </w:rPr>
        <w:t xml:space="preserve">Leanne </w:t>
      </w:r>
      <w:proofErr w:type="spellStart"/>
      <w:r w:rsidRPr="00A710F6">
        <w:rPr>
          <w:rFonts w:ascii="Verdana" w:hAnsi="Verdana"/>
          <w:color w:val="000000"/>
        </w:rPr>
        <w:t>Rylands</w:t>
      </w:r>
      <w:proofErr w:type="spellEnd"/>
      <w:r w:rsidRPr="00A710F6">
        <w:rPr>
          <w:rFonts w:ascii="Verdana" w:hAnsi="Verdana"/>
          <w:color w:val="000000"/>
        </w:rPr>
        <w:t xml:space="preserve">, </w:t>
      </w:r>
      <w:r w:rsidRPr="00A710F6">
        <w:rPr>
          <w:rFonts w:ascii="Verdana" w:hAnsi="Verdana"/>
          <w:i/>
          <w:color w:val="000000"/>
        </w:rPr>
        <w:t>Western Sydney University</w:t>
      </w:r>
      <w:r w:rsidRPr="00A710F6">
        <w:rPr>
          <w:rFonts w:ascii="Verdana" w:hAnsi="Verdana"/>
          <w:color w:val="000000"/>
        </w:rPr>
        <w:t xml:space="preserve"> </w:t>
      </w:r>
    </w:p>
    <w:p w14:paraId="59EF23F8" w14:textId="77777777" w:rsidR="00F973F0" w:rsidRPr="004066C1" w:rsidRDefault="00F973F0">
      <w:pPr>
        <w:rPr>
          <w:rFonts w:ascii="Verdana" w:hAnsi="Verdana"/>
          <w:b/>
          <w:color w:val="000000"/>
        </w:rPr>
      </w:pPr>
    </w:p>
    <w:p w14:paraId="4643BF34" w14:textId="77777777" w:rsidR="00F973F0" w:rsidRPr="004066C1" w:rsidRDefault="00F973F0">
      <w:pPr>
        <w:rPr>
          <w:rFonts w:ascii="Verdana" w:hAnsi="Verdana"/>
        </w:rPr>
      </w:pPr>
    </w:p>
    <w:p w14:paraId="300B0D20" w14:textId="77777777" w:rsidR="00E75AE5" w:rsidRPr="004066C1" w:rsidRDefault="00E75AE5" w:rsidP="00912855">
      <w:pPr>
        <w:pStyle w:val="Header1"/>
        <w:rPr>
          <w:rFonts w:ascii="Verdana" w:hAnsi="Verdana"/>
        </w:rPr>
      </w:pPr>
      <w:r w:rsidRPr="004066C1">
        <w:rPr>
          <w:rFonts w:ascii="Verdana" w:hAnsi="Verdana"/>
        </w:rPr>
        <w:t>Abstract</w:t>
      </w:r>
    </w:p>
    <w:p w14:paraId="3303594C" w14:textId="1DE5C253" w:rsidR="00E75AE5" w:rsidRDefault="00A710F6" w:rsidP="004066C1">
      <w:pPr>
        <w:pStyle w:val="Body"/>
      </w:pPr>
      <w:r>
        <w:t>In Australia, learning support</w:t>
      </w:r>
      <w:r w:rsidR="004066C1" w:rsidRPr="004066C1">
        <w:t xml:space="preserve"> </w:t>
      </w:r>
      <w:r w:rsidR="00EC6485">
        <w:t xml:space="preserve">in mathematics </w:t>
      </w:r>
      <w:r w:rsidRPr="006A1E0A">
        <w:rPr>
          <w:rFonts w:cs="Arial"/>
        </w:rPr>
        <w:t>has been a part of the university landscape for many years. In 1973, a ‘counsellor in mathematics’ was appointed to the Communication and Study Skills Unit at the Australian National University, and in 1984 the first dedicated ‘mathema</w:t>
      </w:r>
      <w:r w:rsidRPr="006A1E0A">
        <w:rPr>
          <w:rFonts w:cs="Arial"/>
        </w:rPr>
        <w:t>t</w:t>
      </w:r>
      <w:r w:rsidRPr="006A1E0A">
        <w:rPr>
          <w:rFonts w:cs="Arial"/>
        </w:rPr>
        <w:t xml:space="preserve">ics learning </w:t>
      </w:r>
      <w:proofErr w:type="spellStart"/>
      <w:r w:rsidRPr="006A1E0A">
        <w:rPr>
          <w:rFonts w:cs="Arial"/>
        </w:rPr>
        <w:t>centres’</w:t>
      </w:r>
      <w:proofErr w:type="spellEnd"/>
      <w:r w:rsidRPr="006A1E0A">
        <w:rPr>
          <w:rFonts w:cs="Arial"/>
        </w:rPr>
        <w:t xml:space="preserve"> were established </w:t>
      </w:r>
      <w:r>
        <w:rPr>
          <w:rFonts w:cs="Arial"/>
        </w:rPr>
        <w:t>in two Australian universities</w:t>
      </w:r>
      <w:r w:rsidR="00E75AE5" w:rsidRPr="004066C1">
        <w:t>.</w:t>
      </w:r>
    </w:p>
    <w:p w14:paraId="228575D4" w14:textId="03658DEB" w:rsidR="004066C1" w:rsidRDefault="00A710F6" w:rsidP="004066C1">
      <w:pPr>
        <w:pStyle w:val="Body"/>
      </w:pPr>
      <w:r w:rsidRPr="00A710F6">
        <w:t xml:space="preserve">The Mathematics Learning Centre at the University of Sydney was established in 1984 and offers mathematics support to students who </w:t>
      </w:r>
      <w:proofErr w:type="spellStart"/>
      <w:r w:rsidRPr="00A710F6">
        <w:t>enrol</w:t>
      </w:r>
      <w:proofErr w:type="spellEnd"/>
      <w:r w:rsidRPr="00A710F6">
        <w:t xml:space="preserve"> at the University without the appropriate level of mathematics for their degree programs. Western Sydney University has provided some mathematics support for students for roughly 20 years. Since 2011, all mathematics support at Western Sydney University has been coordinated through the Mathematics Ed</w:t>
      </w:r>
      <w:r w:rsidRPr="00A710F6">
        <w:t>u</w:t>
      </w:r>
      <w:r w:rsidRPr="00A710F6">
        <w:t>cation Support Hub. The Mathematics Education Support Hub offers mathematics support to all students both on-campus and off-campus.</w:t>
      </w:r>
    </w:p>
    <w:p w14:paraId="6EF24FD4" w14:textId="24AC6764" w:rsidR="00A710F6" w:rsidRPr="004066C1" w:rsidRDefault="003D2ABC" w:rsidP="004066C1">
      <w:pPr>
        <w:pStyle w:val="Body"/>
      </w:pPr>
      <w:r w:rsidRPr="003D2ABC">
        <w:t xml:space="preserve">In this paper, we will discuss the ways we </w:t>
      </w:r>
      <w:proofErr w:type="spellStart"/>
      <w:r w:rsidRPr="003D2ABC">
        <w:t>endeavour</w:t>
      </w:r>
      <w:proofErr w:type="spellEnd"/>
      <w:r w:rsidRPr="003D2ABC">
        <w:t xml:space="preserve"> to ensure that mathematics support at our universities promotes independent learning. We will also discuss the pressures on mat</w:t>
      </w:r>
      <w:r w:rsidRPr="003D2ABC">
        <w:t>h</w:t>
      </w:r>
      <w:r w:rsidRPr="003D2ABC">
        <w:t>ematics support that may have an adverse impact on student learning. These pressures may come from the institution and include cost cutting measures, pressures on staff teac</w:t>
      </w:r>
      <w:r w:rsidRPr="003D2ABC">
        <w:t>h</w:t>
      </w:r>
      <w:r w:rsidRPr="003D2ABC">
        <w:t>ing in mathematics support and pressures on the students themselves</w:t>
      </w:r>
      <w:r>
        <w:t>.</w:t>
      </w:r>
    </w:p>
    <w:p w14:paraId="750608D9" w14:textId="77777777" w:rsidR="004066C1" w:rsidRDefault="004066C1" w:rsidP="00E75AE5">
      <w:pPr>
        <w:pStyle w:val="Header1"/>
        <w:rPr>
          <w:rFonts w:ascii="Verdana" w:hAnsi="Verdana"/>
        </w:rPr>
      </w:pPr>
    </w:p>
    <w:p w14:paraId="038E6DF0" w14:textId="3B458912" w:rsidR="00F973F0" w:rsidRPr="004066C1" w:rsidRDefault="00F973F0" w:rsidP="00594696">
      <w:pPr>
        <w:pStyle w:val="Header1"/>
        <w:rPr>
          <w:rFonts w:ascii="Verdana" w:hAnsi="Verdana"/>
        </w:rPr>
      </w:pPr>
      <w:r w:rsidRPr="004066C1">
        <w:rPr>
          <w:rFonts w:ascii="Verdana" w:hAnsi="Verdana"/>
        </w:rPr>
        <w:t xml:space="preserve">1. </w:t>
      </w:r>
      <w:r w:rsidR="003D2ABC">
        <w:rPr>
          <w:rFonts w:ascii="Verdana" w:hAnsi="Verdana"/>
        </w:rPr>
        <w:t>Introduction</w:t>
      </w:r>
    </w:p>
    <w:p w14:paraId="0A1C4278" w14:textId="3C6A9B14" w:rsidR="00594696" w:rsidRPr="004066C1" w:rsidRDefault="003D2ABC" w:rsidP="00594696">
      <w:pPr>
        <w:pStyle w:val="Body"/>
      </w:pPr>
      <w:r w:rsidRPr="003D2ABC">
        <w:t xml:space="preserve">In Australia, </w:t>
      </w:r>
      <w:r w:rsidR="00EC6485">
        <w:t xml:space="preserve">mathematics </w:t>
      </w:r>
      <w:r w:rsidRPr="003D2ABC">
        <w:t xml:space="preserve">learning support has been a part of the university landscape </w:t>
      </w:r>
      <w:r w:rsidR="00EC6485">
        <w:t>since</w:t>
      </w:r>
      <w:r w:rsidRPr="003D2ABC">
        <w:t xml:space="preserve"> 1973, </w:t>
      </w:r>
      <w:r w:rsidR="00EC6485">
        <w:t xml:space="preserve">when </w:t>
      </w:r>
      <w:r w:rsidRPr="003D2ABC">
        <w:t xml:space="preserve">a ‘counsellor in mathematics’ was appointed to the Communication and Study Skills Unit at the Australian National </w:t>
      </w:r>
      <w:r w:rsidR="00EC6485">
        <w:t>University, and in</w:t>
      </w:r>
      <w:r w:rsidRPr="003D2ABC">
        <w:t xml:space="preserve"> 1984 the first dedicated ‘mathema</w:t>
      </w:r>
      <w:r w:rsidRPr="003D2ABC">
        <w:t>t</w:t>
      </w:r>
      <w:r w:rsidRPr="003D2ABC">
        <w:t xml:space="preserve">ics learning </w:t>
      </w:r>
      <w:proofErr w:type="spellStart"/>
      <w:r w:rsidRPr="003D2ABC">
        <w:t>centres’</w:t>
      </w:r>
      <w:proofErr w:type="spellEnd"/>
      <w:r w:rsidRPr="003D2ABC">
        <w:t xml:space="preserve"> were established at the University of Sydney and Queensland Institute of Technology (Capricornia)</w:t>
      </w:r>
      <w:r w:rsidR="007706FD">
        <w:t xml:space="preserve"> (</w:t>
      </w:r>
      <w:proofErr w:type="spellStart"/>
      <w:r w:rsidR="007706FD">
        <w:t>MacGillivrary</w:t>
      </w:r>
      <w:proofErr w:type="spellEnd"/>
      <w:r w:rsidR="007706FD">
        <w:t xml:space="preserve"> 2009, p. 459). By 2007</w:t>
      </w:r>
      <w:r w:rsidRPr="003D2ABC">
        <w:t xml:space="preserve">, some form of learning support in mathematics was offered in 32 out of 39 Australian universities with Drop-in </w:t>
      </w:r>
      <w:r w:rsidR="00EC6485">
        <w:t>a</w:t>
      </w:r>
      <w:r w:rsidR="00EC6485">
        <w:t>s</w:t>
      </w:r>
      <w:r w:rsidR="00EC6485">
        <w:t>sistance</w:t>
      </w:r>
      <w:r w:rsidRPr="003D2ABC">
        <w:t xml:space="preserve"> </w:t>
      </w:r>
      <w:r w:rsidR="003110C3">
        <w:t>being ‘the most commonly offered assistance’</w:t>
      </w:r>
      <w:r w:rsidR="00A311DE">
        <w:t xml:space="preserve"> (</w:t>
      </w:r>
      <w:proofErr w:type="spellStart"/>
      <w:r w:rsidR="00A311DE">
        <w:t>MacGill</w:t>
      </w:r>
      <w:r w:rsidR="00A311DE">
        <w:t>i</w:t>
      </w:r>
      <w:r w:rsidR="00A311DE">
        <w:t>vray</w:t>
      </w:r>
      <w:proofErr w:type="spellEnd"/>
      <w:r w:rsidRPr="003D2ABC">
        <w:t xml:space="preserve"> 2009</w:t>
      </w:r>
      <w:r w:rsidR="003110C3">
        <w:t xml:space="preserve"> p. 459-460</w:t>
      </w:r>
      <w:r w:rsidRPr="003D2ABC">
        <w:t>)</w:t>
      </w:r>
      <w:r w:rsidR="00594696" w:rsidRPr="004066C1">
        <w:t xml:space="preserve">. </w:t>
      </w:r>
    </w:p>
    <w:p w14:paraId="792EA47F" w14:textId="6186E13A" w:rsidR="004066C1" w:rsidRPr="004066C1" w:rsidRDefault="003D2ABC" w:rsidP="004066C1">
      <w:pPr>
        <w:pStyle w:val="Body"/>
      </w:pPr>
      <w:r w:rsidRPr="003D2ABC">
        <w:t xml:space="preserve">The University of Sydney was founded </w:t>
      </w:r>
      <w:r>
        <w:t>in 1850 and is a large research-</w:t>
      </w:r>
      <w:r w:rsidRPr="003D2ABC">
        <w:t>intensive metropol</w:t>
      </w:r>
      <w:r w:rsidRPr="003D2ABC">
        <w:t>i</w:t>
      </w:r>
      <w:r w:rsidRPr="003D2ABC">
        <w:t>tan university with over 54,000 students. About 82% of its students study on the main campus and mathematics learning support is offered through the Mathematics Learning Centre (MLC), which was established in 1984</w:t>
      </w:r>
      <w:r w:rsidR="004066C1" w:rsidRPr="004066C1">
        <w:t>.</w:t>
      </w:r>
    </w:p>
    <w:p w14:paraId="0D69911A" w14:textId="58C85F82" w:rsidR="00F973F0" w:rsidRDefault="003D2ABC" w:rsidP="004066C1">
      <w:pPr>
        <w:pStyle w:val="Body"/>
      </w:pPr>
      <w:r w:rsidRPr="003D2ABC">
        <w:t>By contrast, Western Sydney University (WSU) was founded in 1989 and is a multi-campus university situated in the greater western Sydney area. It has over 42,000 students in ten schools. The majority of Schools offer degree programs where some quantitative skills are needed. Most degree programs are offered on more than one of the five main WSU campu</w:t>
      </w:r>
      <w:r w:rsidRPr="003D2ABC">
        <w:t>s</w:t>
      </w:r>
      <w:r w:rsidRPr="003D2ABC">
        <w:t>es. The Mathematics Education Support Hub (MESH) was established in 2011 and offers mathematics support to students both on-campus and off-campus</w:t>
      </w:r>
      <w:r w:rsidR="00F973F0" w:rsidRPr="004066C1">
        <w:t>.</w:t>
      </w:r>
    </w:p>
    <w:p w14:paraId="08BA9A5D" w14:textId="7F695B57" w:rsidR="003E1124" w:rsidRPr="004066C1" w:rsidRDefault="002D7262" w:rsidP="004066C1">
      <w:pPr>
        <w:pStyle w:val="Body"/>
      </w:pPr>
      <w:r>
        <w:t xml:space="preserve">The term </w:t>
      </w:r>
      <w:r w:rsidRPr="002D7262">
        <w:rPr>
          <w:i/>
        </w:rPr>
        <w:t>mathematics support</w:t>
      </w:r>
      <w:r>
        <w:t xml:space="preserve"> should be interpreted to include</w:t>
      </w:r>
      <w:r w:rsidR="003E1124">
        <w:t xml:space="preserve"> </w:t>
      </w:r>
      <w:r>
        <w:t xml:space="preserve">support in </w:t>
      </w:r>
      <w:r w:rsidR="003E1124">
        <w:t>both mathema</w:t>
      </w:r>
      <w:r w:rsidR="003E1124">
        <w:t>t</w:t>
      </w:r>
      <w:r w:rsidR="003E1124">
        <w:t>ics and statistics.</w:t>
      </w:r>
    </w:p>
    <w:p w14:paraId="215659AA" w14:textId="77777777" w:rsidR="003E1124" w:rsidRDefault="003E1124" w:rsidP="00E75AE5">
      <w:pPr>
        <w:pStyle w:val="Header1"/>
        <w:rPr>
          <w:rFonts w:ascii="Verdana" w:hAnsi="Verdana"/>
        </w:rPr>
      </w:pPr>
      <w:bookmarkStart w:id="0" w:name="_GoBack"/>
      <w:bookmarkEnd w:id="0"/>
    </w:p>
    <w:p w14:paraId="67AB927E" w14:textId="5492AD3B" w:rsidR="00E75AE5" w:rsidRPr="004066C1" w:rsidRDefault="00912855" w:rsidP="00594696">
      <w:pPr>
        <w:pStyle w:val="Header1"/>
        <w:rPr>
          <w:rFonts w:ascii="Verdana" w:hAnsi="Verdana"/>
        </w:rPr>
      </w:pPr>
      <w:r w:rsidRPr="004066C1">
        <w:rPr>
          <w:rFonts w:ascii="Verdana" w:hAnsi="Verdana"/>
        </w:rPr>
        <w:lastRenderedPageBreak/>
        <w:t>2</w:t>
      </w:r>
      <w:r w:rsidR="00E75AE5" w:rsidRPr="004066C1">
        <w:rPr>
          <w:rFonts w:ascii="Verdana" w:hAnsi="Verdana"/>
        </w:rPr>
        <w:t xml:space="preserve">. </w:t>
      </w:r>
      <w:r w:rsidR="003D2ABC">
        <w:rPr>
          <w:rFonts w:ascii="Verdana" w:hAnsi="Verdana"/>
        </w:rPr>
        <w:t>Best practice</w:t>
      </w:r>
    </w:p>
    <w:p w14:paraId="3C1FCCBB" w14:textId="35CFD8E0" w:rsidR="004066C1" w:rsidRPr="004066C1" w:rsidRDefault="003D2ABC" w:rsidP="004066C1">
      <w:pPr>
        <w:pStyle w:val="Body"/>
      </w:pPr>
      <w:bookmarkStart w:id="1" w:name="_Ref473034950"/>
      <w:r w:rsidRPr="003D2ABC">
        <w:rPr>
          <w:lang w:val="en-AU"/>
        </w:rPr>
        <w:t>The aim of all those teaching mathematics and statistics at university level should be to d</w:t>
      </w:r>
      <w:r w:rsidRPr="003D2ABC">
        <w:rPr>
          <w:lang w:val="en-AU"/>
        </w:rPr>
        <w:t>e</w:t>
      </w:r>
      <w:r w:rsidRPr="003D2ABC">
        <w:rPr>
          <w:lang w:val="en-AU"/>
        </w:rPr>
        <w:t>velop and enhance a student’s understanding. Teaching students to blindly and unthinkingly use formulas or apply tests without understanding the underlying concepts, when they a</w:t>
      </w:r>
      <w:r w:rsidRPr="003D2ABC">
        <w:rPr>
          <w:lang w:val="en-AU"/>
        </w:rPr>
        <w:t>p</w:t>
      </w:r>
      <w:r w:rsidRPr="003D2ABC">
        <w:rPr>
          <w:lang w:val="en-AU"/>
        </w:rPr>
        <w:t>ply and how to modify them for different circumstances is doing all of society a disservice. As university teachers we want students to understand, to think, to problem solve, to know when and how to use what they have learnt. Mathematics and statistics learning support must work to support this</w:t>
      </w:r>
      <w:r w:rsidR="004066C1" w:rsidRPr="004066C1">
        <w:t>.</w:t>
      </w:r>
    </w:p>
    <w:p w14:paraId="6CEFE9C1" w14:textId="77777777" w:rsidR="00594696" w:rsidRPr="00DD2583" w:rsidRDefault="00594696" w:rsidP="00DD2583">
      <w:pPr>
        <w:pStyle w:val="Header2"/>
      </w:pPr>
    </w:p>
    <w:p w14:paraId="4AE782EE" w14:textId="26455291" w:rsidR="00594696" w:rsidRPr="004066C1" w:rsidRDefault="00594696" w:rsidP="00594696">
      <w:pPr>
        <w:pStyle w:val="Header2"/>
        <w:rPr>
          <w:rFonts w:ascii="Verdana" w:hAnsi="Verdana"/>
        </w:rPr>
      </w:pPr>
      <w:r>
        <w:rPr>
          <w:rFonts w:ascii="Verdana" w:hAnsi="Verdana"/>
        </w:rPr>
        <w:t>2.1</w:t>
      </w:r>
      <w:r w:rsidRPr="004066C1">
        <w:rPr>
          <w:rFonts w:ascii="Verdana" w:hAnsi="Verdana"/>
        </w:rPr>
        <w:t xml:space="preserve">. </w:t>
      </w:r>
      <w:r w:rsidR="003D2ABC" w:rsidRPr="003D2ABC">
        <w:rPr>
          <w:rFonts w:ascii="Verdana" w:hAnsi="Verdana"/>
        </w:rPr>
        <w:t>Mathematics Teaching and Learning</w:t>
      </w:r>
    </w:p>
    <w:p w14:paraId="3162C03E" w14:textId="77777777" w:rsidR="00DD2583" w:rsidRPr="00DD2583" w:rsidRDefault="00DD2583" w:rsidP="00DD2583">
      <w:pPr>
        <w:pStyle w:val="Body"/>
      </w:pPr>
      <w:r w:rsidRPr="00DD2583">
        <w:t xml:space="preserve">The premise that underpins mathematics support at WSU and the University of Sydney is that mathematical capacity is acquired and mathematical thinking is developed through </w:t>
      </w:r>
      <w:r w:rsidRPr="00DD2583">
        <w:rPr>
          <w:b/>
        </w:rPr>
        <w:t>d</w:t>
      </w:r>
      <w:r w:rsidRPr="00DD2583">
        <w:rPr>
          <w:b/>
        </w:rPr>
        <w:t>o</w:t>
      </w:r>
      <w:r w:rsidRPr="00DD2583">
        <w:rPr>
          <w:b/>
        </w:rPr>
        <w:t xml:space="preserve">ing </w:t>
      </w:r>
      <w:r w:rsidRPr="00DD2583">
        <w:t xml:space="preserve">mathematics. </w:t>
      </w:r>
    </w:p>
    <w:p w14:paraId="7DBE65D6" w14:textId="4EEEAF8F" w:rsidR="00DD2583" w:rsidRPr="00DD2583" w:rsidRDefault="00DD2583" w:rsidP="00DD2583">
      <w:pPr>
        <w:pStyle w:val="Body"/>
      </w:pPr>
      <w:r w:rsidRPr="00DD2583">
        <w:t xml:space="preserve">This idea is self-evident to mathematicians and is not new. It was elegantly expressed by the famous mathematician Paul </w:t>
      </w:r>
      <w:proofErr w:type="spellStart"/>
      <w:r w:rsidRPr="00DD2583">
        <w:t>Halmos</w:t>
      </w:r>
      <w:proofErr w:type="spellEnd"/>
      <w:r w:rsidRPr="00DD2583">
        <w:t>:</w:t>
      </w:r>
    </w:p>
    <w:p w14:paraId="0C55C9FE" w14:textId="77777777" w:rsidR="00DD2583" w:rsidRPr="00DD2583" w:rsidRDefault="00DD2583" w:rsidP="00DD2583">
      <w:pPr>
        <w:pStyle w:val="Body"/>
        <w:ind w:left="426"/>
      </w:pPr>
      <w:r w:rsidRPr="00DD2583">
        <w:t>‘For a student of mathematics to hear someone talk about mathematics does hardly any more good than for a student of swimming to hear someone talk about swimming.’</w:t>
      </w:r>
    </w:p>
    <w:p w14:paraId="5232C381" w14:textId="7F0CD617" w:rsidR="00DD2583" w:rsidRPr="00DD2583" w:rsidRDefault="00DD2583" w:rsidP="00DD2583">
      <w:pPr>
        <w:pStyle w:val="Body"/>
        <w:tabs>
          <w:tab w:val="right" w:pos="8931"/>
        </w:tabs>
      </w:pPr>
      <w:r w:rsidRPr="00DD2583">
        <w:tab/>
      </w:r>
      <w:proofErr w:type="spellStart"/>
      <w:r w:rsidRPr="00DD2583">
        <w:t>Halmos</w:t>
      </w:r>
      <w:proofErr w:type="spellEnd"/>
      <w:r w:rsidRPr="00DD2583">
        <w:t xml:space="preserve">, </w:t>
      </w:r>
      <w:proofErr w:type="spellStart"/>
      <w:r w:rsidRPr="00DD2583">
        <w:t>Moise</w:t>
      </w:r>
      <w:proofErr w:type="spellEnd"/>
      <w:r w:rsidRPr="00DD2583">
        <w:t xml:space="preserve"> and </w:t>
      </w:r>
      <w:proofErr w:type="spellStart"/>
      <w:r w:rsidRPr="00DD2583">
        <w:t>Piranian</w:t>
      </w:r>
      <w:proofErr w:type="spellEnd"/>
      <w:r w:rsidRPr="00DD2583">
        <w:t xml:space="preserve"> (1975</w:t>
      </w:r>
      <w:r w:rsidR="00920752">
        <w:t>,</w:t>
      </w:r>
      <w:r w:rsidRPr="00DD2583">
        <w:t xml:space="preserve"> p</w:t>
      </w:r>
      <w:r w:rsidR="00920752">
        <w:t>.</w:t>
      </w:r>
      <w:r w:rsidRPr="00DD2583">
        <w:t xml:space="preserve"> 466</w:t>
      </w:r>
      <w:r w:rsidR="00920752">
        <w:t>)</w:t>
      </w:r>
    </w:p>
    <w:p w14:paraId="3DE8F747" w14:textId="77777777" w:rsidR="00DD2583" w:rsidRPr="00DD2583" w:rsidRDefault="00DD2583" w:rsidP="00DD2583">
      <w:pPr>
        <w:pStyle w:val="Body"/>
      </w:pPr>
      <w:r w:rsidRPr="00DD2583">
        <w:t>Teaching mathematics to mathematically under-prepared university students is complex and nuanced as each student must be individually assessed to determine his or her math</w:t>
      </w:r>
      <w:r w:rsidRPr="00DD2583">
        <w:t>e</w:t>
      </w:r>
      <w:r w:rsidRPr="00DD2583">
        <w:t xml:space="preserve">matical skills, conceptual understanding of key ideas and ways of thinking mathematically. </w:t>
      </w:r>
    </w:p>
    <w:p w14:paraId="2E96BB01" w14:textId="725E9957" w:rsidR="004066C1" w:rsidRDefault="00DD2583" w:rsidP="00DD2583">
      <w:pPr>
        <w:pStyle w:val="Body"/>
      </w:pPr>
      <w:r w:rsidRPr="00DD2583">
        <w:t xml:space="preserve">Some of our students can lack even the sense of the value of a fraction, while others may be missing just some of the more subtle concepts from calculus. Careful </w:t>
      </w:r>
      <w:r w:rsidR="00FC47D2" w:rsidRPr="003E7F91">
        <w:t>assessment</w:t>
      </w:r>
      <w:r w:rsidRPr="003E7F91">
        <w:t xml:space="preserve"> of </w:t>
      </w:r>
      <w:r w:rsidR="00FC47D2" w:rsidRPr="003E7F91">
        <w:t xml:space="preserve">each student’s </w:t>
      </w:r>
      <w:r w:rsidR="00FC47D2" w:rsidRPr="003E7F91">
        <w:rPr>
          <w:lang w:val="en-AU"/>
        </w:rPr>
        <w:t>knowledge and understanding</w:t>
      </w:r>
      <w:r w:rsidR="00FC47D2" w:rsidRPr="00DD2583">
        <w:t xml:space="preserve"> </w:t>
      </w:r>
      <w:r w:rsidRPr="00DD2583">
        <w:t>is necessary to provide appropriate targeted assi</w:t>
      </w:r>
      <w:r w:rsidRPr="00DD2583">
        <w:t>s</w:t>
      </w:r>
      <w:r w:rsidR="00FC47D2">
        <w:t>tance</w:t>
      </w:r>
      <w:r w:rsidRPr="00DD2583">
        <w:t xml:space="preserve">. </w:t>
      </w:r>
      <w:r w:rsidR="00FC47D2" w:rsidRPr="00DD2583">
        <w:rPr>
          <w:lang w:val="en-AU"/>
        </w:rPr>
        <w:t>Face-to-face contact with students is essential for such assessment.</w:t>
      </w:r>
      <w:r w:rsidR="00FC47D2" w:rsidRPr="00DD2583">
        <w:t xml:space="preserve"> In this area, one size definitely does not fit all</w:t>
      </w:r>
      <w:r w:rsidR="00FC47D2">
        <w:t>.</w:t>
      </w:r>
    </w:p>
    <w:p w14:paraId="39BABAF8" w14:textId="77777777" w:rsidR="003D2ABC" w:rsidRDefault="003D2ABC" w:rsidP="00DD2583">
      <w:pPr>
        <w:pStyle w:val="Header2"/>
      </w:pPr>
    </w:p>
    <w:p w14:paraId="54E03E16" w14:textId="15C5D395" w:rsidR="003D2ABC" w:rsidRPr="004066C1" w:rsidRDefault="006E659E" w:rsidP="003D2ABC">
      <w:pPr>
        <w:pStyle w:val="Header2"/>
        <w:rPr>
          <w:rFonts w:ascii="Verdana" w:hAnsi="Verdana"/>
        </w:rPr>
      </w:pPr>
      <w:r>
        <w:rPr>
          <w:rFonts w:ascii="Verdana" w:hAnsi="Verdana"/>
        </w:rPr>
        <w:t>2.2</w:t>
      </w:r>
      <w:r w:rsidR="003D2ABC" w:rsidRPr="004066C1">
        <w:rPr>
          <w:rFonts w:ascii="Verdana" w:hAnsi="Verdana"/>
        </w:rPr>
        <w:t xml:space="preserve">. </w:t>
      </w:r>
      <w:r w:rsidR="00E131DF" w:rsidRPr="00E131DF">
        <w:rPr>
          <w:rFonts w:ascii="Verdana" w:hAnsi="Verdana"/>
        </w:rPr>
        <w:t>Mathematics Support at Western Sydney University and the University of Sydney</w:t>
      </w:r>
    </w:p>
    <w:p w14:paraId="0F93E552" w14:textId="477573C8" w:rsidR="003D2ABC" w:rsidRDefault="003D2ABC" w:rsidP="00594696">
      <w:pPr>
        <w:pStyle w:val="Body"/>
      </w:pPr>
      <w:r w:rsidRPr="003D2ABC">
        <w:t xml:space="preserve">There are many common aspects with the way that mathematics support is delivered at our universities including our emphasis on student learning by doing mathematics. We </w:t>
      </w:r>
      <w:proofErr w:type="spellStart"/>
      <w:r w:rsidRPr="003D2ABC">
        <w:t>organise</w:t>
      </w:r>
      <w:proofErr w:type="spellEnd"/>
      <w:r w:rsidRPr="003D2ABC">
        <w:t xml:space="preserve"> our practice to take account of the diversity of our students so that each student’s needs are assessed. However, there are some significant differences due to the structure of the universities</w:t>
      </w:r>
      <w:r>
        <w:t>.</w:t>
      </w:r>
    </w:p>
    <w:p w14:paraId="7FEAC6FE" w14:textId="50CDD8AA" w:rsidR="003D2ABC" w:rsidRDefault="003D2ABC" w:rsidP="003D2ABC">
      <w:pPr>
        <w:pStyle w:val="Body"/>
      </w:pPr>
      <w:r w:rsidRPr="003D2ABC">
        <w:t xml:space="preserve">WSU has provided some mathematics support for students for roughly 20 years. Since the inception of MESH </w:t>
      </w:r>
      <w:r w:rsidR="00E27413">
        <w:t xml:space="preserve">in 2011 </w:t>
      </w:r>
      <w:r w:rsidRPr="003D2ABC">
        <w:t>a more coordinated approach to mathematics and statistics su</w:t>
      </w:r>
      <w:r w:rsidRPr="003D2ABC">
        <w:t>p</w:t>
      </w:r>
      <w:r w:rsidRPr="003D2ABC">
        <w:t>port has evolved with the services offered to students increased in type and capacity. MESH services to assist students with numeracy, mathematics and statistics now include bridging workshops before the start of the academic year, a drop-in service, an online answer se</w:t>
      </w:r>
      <w:r w:rsidRPr="003D2ABC">
        <w:t>r</w:t>
      </w:r>
      <w:r w:rsidRPr="003D2ABC">
        <w:t>vice, targeted workshops, online materials and assistance to academics to help them to help their students. MESH contract and permanent staff all have relevant postgraduate qualific</w:t>
      </w:r>
      <w:r w:rsidRPr="003D2ABC">
        <w:t>a</w:t>
      </w:r>
      <w:r w:rsidRPr="003D2ABC">
        <w:t>tions.</w:t>
      </w:r>
    </w:p>
    <w:p w14:paraId="39A590DF" w14:textId="2721A544" w:rsidR="003D2ABC" w:rsidRDefault="003D2ABC" w:rsidP="003D2ABC">
      <w:pPr>
        <w:pStyle w:val="Body"/>
      </w:pPr>
      <w:r w:rsidRPr="003D2ABC">
        <w:t>The drop-in service runs on six campuses in a campus library, from just two hours a week to roughly 16 hours a week, depending on student demand. Students can approach a MESH tutor for assistan</w:t>
      </w:r>
      <w:r w:rsidR="00E27413">
        <w:t>ce with any quantitative aspect</w:t>
      </w:r>
      <w:r w:rsidRPr="003D2ABC">
        <w:t xml:space="preserve"> of their studies; they can work nearby ge</w:t>
      </w:r>
      <w:r w:rsidRPr="003D2ABC">
        <w:t>t</w:t>
      </w:r>
      <w:r w:rsidRPr="003D2ABC">
        <w:t xml:space="preserve">ting assistance as needed, work in groups or alone. </w:t>
      </w:r>
    </w:p>
    <w:p w14:paraId="4148FD83" w14:textId="77777777" w:rsidR="003D2ABC" w:rsidRDefault="003D2ABC" w:rsidP="003D2ABC">
      <w:pPr>
        <w:pStyle w:val="Body"/>
      </w:pPr>
      <w:r w:rsidRPr="003D2ABC">
        <w:t>The workshops are run for specific subjects, usually just before a test, quiz or exam, as this is when demand for assistance peaks. MESH provides students with questions covering the content to be examined, and students are expected to work in groups, discussing and sol</w:t>
      </w:r>
      <w:r w:rsidRPr="003D2ABC">
        <w:t>v</w:t>
      </w:r>
      <w:r w:rsidRPr="003D2ABC">
        <w:lastRenderedPageBreak/>
        <w:t xml:space="preserve">ing the problems, with the MESH staff facilitating this process. For almost all subjects, the MESH support </w:t>
      </w:r>
      <w:proofErr w:type="gramStart"/>
      <w:r w:rsidRPr="003D2ABC">
        <w:t>staff are</w:t>
      </w:r>
      <w:proofErr w:type="gramEnd"/>
      <w:r w:rsidRPr="003D2ABC">
        <w:t xml:space="preserve"> not involved in the teaching of the subject.</w:t>
      </w:r>
    </w:p>
    <w:p w14:paraId="3905F5A0" w14:textId="77777777" w:rsidR="003D2ABC" w:rsidRDefault="003D2ABC" w:rsidP="003D2ABC">
      <w:pPr>
        <w:pStyle w:val="Body"/>
      </w:pPr>
      <w:r w:rsidRPr="003D2ABC">
        <w:t>An online answer service and online resources enable students to access assistance from anywhere, anytime. However, there is much less interest in these online services than in the drop-in service or workshops. MESH staff also curate, create and modify resources.</w:t>
      </w:r>
    </w:p>
    <w:p w14:paraId="5CD02AA1" w14:textId="77777777" w:rsidR="003D2ABC" w:rsidRDefault="003D2ABC" w:rsidP="003D2ABC">
      <w:pPr>
        <w:pStyle w:val="Body"/>
      </w:pPr>
      <w:r w:rsidRPr="003D2ABC">
        <w:t xml:space="preserve">Feedback from students who have used MESH services is very positive, for example, ‘MESH library roving [drop-in service] will save you in this unit.’ and ‘MESH workshops are the </w:t>
      </w:r>
      <w:proofErr w:type="spellStart"/>
      <w:r w:rsidRPr="003D2ABC">
        <w:t>kickstart</w:t>
      </w:r>
      <w:proofErr w:type="spellEnd"/>
      <w:r w:rsidRPr="003D2ABC">
        <w:t xml:space="preserve"> to getting serious about exam prep study for this subject. </w:t>
      </w:r>
      <w:proofErr w:type="gramStart"/>
      <w:r w:rsidRPr="003D2ABC">
        <w:t>Hugely helpful’.</w:t>
      </w:r>
      <w:proofErr w:type="gramEnd"/>
    </w:p>
    <w:p w14:paraId="0518A1F0" w14:textId="77777777" w:rsidR="003D2ABC" w:rsidRDefault="003D2ABC" w:rsidP="003D2ABC">
      <w:pPr>
        <w:pStyle w:val="Body"/>
      </w:pPr>
      <w:r w:rsidRPr="003D2ABC">
        <w:rPr>
          <w:lang w:val="en-AU"/>
        </w:rPr>
        <w:t xml:space="preserve">At the University of Sydney, the MLC provides a range of mathematics support including bridging courses held in February, a drop-in centre and targeted revision workshops held throughout the academic year (March to November), and unrestricted access to a range of electronic resources – </w:t>
      </w:r>
      <w:proofErr w:type="spellStart"/>
      <w:r w:rsidRPr="003D2ABC">
        <w:rPr>
          <w:lang w:val="en-AU"/>
        </w:rPr>
        <w:t>MathsCasts</w:t>
      </w:r>
      <w:proofErr w:type="spellEnd"/>
      <w:r w:rsidRPr="003D2ABC">
        <w:rPr>
          <w:lang w:val="en-AU"/>
        </w:rPr>
        <w:t xml:space="preserve"> – and other paper based mathematics resources. </w:t>
      </w:r>
    </w:p>
    <w:p w14:paraId="695F3DC7" w14:textId="3008E1F7" w:rsidR="003D2ABC" w:rsidRDefault="003D2ABC" w:rsidP="003D2ABC">
      <w:pPr>
        <w:pStyle w:val="Body"/>
      </w:pPr>
      <w:r w:rsidRPr="003D2ABC">
        <w:t xml:space="preserve">The MLC Drop-in Centre is the </w:t>
      </w:r>
      <w:r w:rsidR="00077B76">
        <w:t>primary</w:t>
      </w:r>
      <w:r w:rsidRPr="003D2ABC">
        <w:t xml:space="preserve"> means of providing mathematics support at the Un</w:t>
      </w:r>
      <w:r w:rsidRPr="003D2ABC">
        <w:t>i</w:t>
      </w:r>
      <w:r w:rsidRPr="003D2ABC">
        <w:t>versity of Sydney and accounts for about 86% of student attendance.</w:t>
      </w:r>
    </w:p>
    <w:p w14:paraId="5352D426" w14:textId="352A7235" w:rsidR="003D2ABC" w:rsidRDefault="003D2ABC" w:rsidP="003D2ABC">
      <w:pPr>
        <w:pStyle w:val="Body"/>
      </w:pPr>
      <w:r w:rsidRPr="003D2ABC">
        <w:t xml:space="preserve">A dedicated drop-in </w:t>
      </w:r>
      <w:proofErr w:type="spellStart"/>
      <w:r w:rsidRPr="003D2ABC">
        <w:t>centre</w:t>
      </w:r>
      <w:proofErr w:type="spellEnd"/>
      <w:r w:rsidRPr="003D2ABC">
        <w:t xml:space="preserve"> was originally established to provide a simple, flexible and non-threatening way for students with similar difficulties to study together at their own pace and seek assistance when necessary, enabling students ‘to engage with mathematics or stati</w:t>
      </w:r>
      <w:r w:rsidRPr="003D2ABC">
        <w:t>s</w:t>
      </w:r>
      <w:r w:rsidRPr="003D2ABC">
        <w:t>tics in an environment with no formal expectations of them other than that they are ther</w:t>
      </w:r>
      <w:r w:rsidR="00A311DE">
        <w:t>e to try’ (</w:t>
      </w:r>
      <w:proofErr w:type="spellStart"/>
      <w:r w:rsidR="00A311DE">
        <w:t>MacGillivray</w:t>
      </w:r>
      <w:proofErr w:type="spellEnd"/>
      <w:r w:rsidR="00A311DE">
        <w:t xml:space="preserve"> &amp; Croft</w:t>
      </w:r>
      <w:r w:rsidRPr="003D2ABC">
        <w:t xml:space="preserve"> 2011</w:t>
      </w:r>
      <w:r w:rsidR="00920752">
        <w:t>,</w:t>
      </w:r>
      <w:r w:rsidRPr="003D2ABC">
        <w:t xml:space="preserve"> p</w:t>
      </w:r>
      <w:r w:rsidR="00920752">
        <w:t>.</w:t>
      </w:r>
      <w:r w:rsidRPr="003D2ABC">
        <w:t xml:space="preserve"> 196).</w:t>
      </w:r>
      <w:r>
        <w:t xml:space="preserve"> </w:t>
      </w:r>
      <w:r w:rsidRPr="003D2ABC">
        <w:t xml:space="preserve">We expect our students to adopt this ethos and </w:t>
      </w:r>
      <w:r w:rsidR="00E27413">
        <w:t xml:space="preserve">we </w:t>
      </w:r>
      <w:r w:rsidR="00EE21E5">
        <w:t>work hard</w:t>
      </w:r>
      <w:r w:rsidRPr="003D2ABC">
        <w:t xml:space="preserve"> to promote a mathematics learning community – a place where students come together to learn and help each other learn. </w:t>
      </w:r>
    </w:p>
    <w:p w14:paraId="5E593600" w14:textId="5E5FCF5F" w:rsidR="003D2ABC" w:rsidRPr="003D2ABC" w:rsidRDefault="003D2ABC" w:rsidP="003D2ABC">
      <w:pPr>
        <w:pStyle w:val="Body"/>
      </w:pPr>
      <w:r w:rsidRPr="003D2ABC">
        <w:t>Research has established the success of this model for students at risk in learning math</w:t>
      </w:r>
      <w:r w:rsidRPr="003D2ABC">
        <w:t>e</w:t>
      </w:r>
      <w:r w:rsidRPr="003D2ABC">
        <w:t xml:space="preserve">matics. In their study of </w:t>
      </w:r>
      <w:proofErr w:type="gramStart"/>
      <w:r w:rsidRPr="003D2ABC">
        <w:t>two mathematics</w:t>
      </w:r>
      <w:proofErr w:type="gramEnd"/>
      <w:r w:rsidRPr="003D2ABC">
        <w:t xml:space="preserve"> support </w:t>
      </w:r>
      <w:proofErr w:type="spellStart"/>
      <w:r w:rsidRPr="003D2ABC">
        <w:t>centres</w:t>
      </w:r>
      <w:proofErr w:type="spellEnd"/>
      <w:r w:rsidRPr="003D2ABC">
        <w:t xml:space="preserve"> similar to the MLC, Solomon, Croft &amp; Lawson (2010, p</w:t>
      </w:r>
      <w:r w:rsidR="00920752">
        <w:t>.</w:t>
      </w:r>
      <w:r w:rsidRPr="003D2ABC">
        <w:t xml:space="preserve"> 423) argued that:</w:t>
      </w:r>
    </w:p>
    <w:p w14:paraId="1F7988DA" w14:textId="77777777" w:rsidR="003D2ABC" w:rsidRPr="003D2ABC" w:rsidRDefault="003D2ABC" w:rsidP="00E131DF">
      <w:pPr>
        <w:pStyle w:val="Body"/>
        <w:ind w:left="284"/>
      </w:pPr>
      <w:r w:rsidRPr="003D2ABC">
        <w:t>‘while their greatest benefit is the availability of focused one-to-one support as an imm</w:t>
      </w:r>
      <w:r w:rsidRPr="003D2ABC">
        <w:t>e</w:t>
      </w:r>
      <w:r w:rsidRPr="003D2ABC">
        <w:t>diate response to specific problems, students also comment on the importance of atmo</w:t>
      </w:r>
      <w:r w:rsidRPr="003D2ABC">
        <w:t>s</w:t>
      </w:r>
      <w:r w:rsidRPr="003D2ABC">
        <w:t>phere and the learning environment, an increase in student control and lack of time pre</w:t>
      </w:r>
      <w:r w:rsidRPr="003D2ABC">
        <w:t>s</w:t>
      </w:r>
      <w:r w:rsidRPr="003D2ABC">
        <w:t xml:space="preserve">sure, and the informality and psychological security of </w:t>
      </w:r>
      <w:proofErr w:type="spellStart"/>
      <w:r w:rsidRPr="003D2ABC">
        <w:t>centres</w:t>
      </w:r>
      <w:proofErr w:type="spellEnd"/>
      <w:r w:rsidRPr="003D2ABC">
        <w:t>’.</w:t>
      </w:r>
    </w:p>
    <w:p w14:paraId="2D8DDD7E" w14:textId="386C3AA3" w:rsidR="003D2ABC" w:rsidRDefault="003D2ABC" w:rsidP="003D2ABC">
      <w:pPr>
        <w:pStyle w:val="Body"/>
      </w:pPr>
      <w:r w:rsidRPr="003D2ABC">
        <w:t xml:space="preserve">Many students perceive tutorials as ‘risky spaces’ and feel too exposed to ask questions in them (Solomon </w:t>
      </w:r>
      <w:r w:rsidRPr="003E7F91">
        <w:t>et al</w:t>
      </w:r>
      <w:r w:rsidR="008472BC" w:rsidRPr="003E7F91">
        <w:t>.</w:t>
      </w:r>
      <w:r w:rsidRPr="003D2ABC">
        <w:t xml:space="preserve"> 2010, p</w:t>
      </w:r>
      <w:r w:rsidR="00920752">
        <w:t>.</w:t>
      </w:r>
      <w:r w:rsidRPr="003D2ABC">
        <w:t xml:space="preserve"> 427). The MLC Drop-in Centre, </w:t>
      </w:r>
      <w:r w:rsidR="00B6304D" w:rsidRPr="003E7F91">
        <w:t>however</w:t>
      </w:r>
      <w:r w:rsidRPr="003E7F91">
        <w:t>,</w:t>
      </w:r>
      <w:r w:rsidRPr="003D2ABC">
        <w:t xml:space="preserve"> gives students a safe environment to ask questions away from their tutorials. As one student put it: ‘I often come in confused, upset and distressed [and] leave with clarity’ (Student feedback).</w:t>
      </w:r>
    </w:p>
    <w:p w14:paraId="4E660159" w14:textId="7EE2FFB5" w:rsidR="003D2ABC" w:rsidRDefault="003D2ABC" w:rsidP="003D2ABC">
      <w:pPr>
        <w:pStyle w:val="Body"/>
      </w:pPr>
      <w:r w:rsidRPr="003D2ABC">
        <w:rPr>
          <w:lang w:val="en-AU"/>
        </w:rPr>
        <w:t>The revision workshops in the major mathematics subjects are held each week to revise a particular mathematical concept and closely follow the subject outlines. The workshop fo</w:t>
      </w:r>
      <w:r w:rsidRPr="003D2ABC">
        <w:rPr>
          <w:lang w:val="en-AU"/>
        </w:rPr>
        <w:t>r</w:t>
      </w:r>
      <w:r w:rsidRPr="003D2ABC">
        <w:rPr>
          <w:lang w:val="en-AU"/>
        </w:rPr>
        <w:t>mat varies and may include group discussions as well as students working individually du</w:t>
      </w:r>
      <w:r w:rsidRPr="003D2ABC">
        <w:rPr>
          <w:lang w:val="en-AU"/>
        </w:rPr>
        <w:t>r</w:t>
      </w:r>
      <w:r w:rsidRPr="003D2ABC">
        <w:rPr>
          <w:lang w:val="en-AU"/>
        </w:rPr>
        <w:t xml:space="preserve">ing the workshops.  As at WSU, there is a predictable spike in </w:t>
      </w:r>
      <w:proofErr w:type="gramStart"/>
      <w:r w:rsidRPr="003D2ABC">
        <w:rPr>
          <w:lang w:val="en-AU"/>
        </w:rPr>
        <w:t xml:space="preserve">interest </w:t>
      </w:r>
      <w:r w:rsidR="00EC6485">
        <w:rPr>
          <w:lang w:val="en-AU"/>
        </w:rPr>
        <w:t xml:space="preserve"> just</w:t>
      </w:r>
      <w:proofErr w:type="gramEnd"/>
      <w:r w:rsidR="00EC6485">
        <w:rPr>
          <w:lang w:val="en-AU"/>
        </w:rPr>
        <w:t xml:space="preserve"> </w:t>
      </w:r>
      <w:r w:rsidRPr="003D2ABC">
        <w:rPr>
          <w:lang w:val="en-AU"/>
        </w:rPr>
        <w:t>before the a</w:t>
      </w:r>
      <w:r w:rsidRPr="003D2ABC">
        <w:rPr>
          <w:lang w:val="en-AU"/>
        </w:rPr>
        <w:t>s</w:t>
      </w:r>
      <w:r w:rsidRPr="003D2ABC">
        <w:rPr>
          <w:lang w:val="en-AU"/>
        </w:rPr>
        <w:t>sessments.</w:t>
      </w:r>
    </w:p>
    <w:p w14:paraId="2DD06065" w14:textId="3C8C2E3E" w:rsidR="003D2ABC" w:rsidRDefault="003D2ABC" w:rsidP="003D2ABC">
      <w:pPr>
        <w:pStyle w:val="Body"/>
      </w:pPr>
      <w:r w:rsidRPr="003D2ABC">
        <w:t xml:space="preserve">The MLC, along with many other mathematics support </w:t>
      </w:r>
      <w:proofErr w:type="spellStart"/>
      <w:r w:rsidRPr="003D2ABC">
        <w:t>centres</w:t>
      </w:r>
      <w:proofErr w:type="spellEnd"/>
      <w:r w:rsidRPr="003D2ABC">
        <w:t xml:space="preserve">, has produced </w:t>
      </w:r>
      <w:proofErr w:type="spellStart"/>
      <w:r w:rsidRPr="003D2ABC">
        <w:t>MathsCasts</w:t>
      </w:r>
      <w:proofErr w:type="spellEnd"/>
      <w:r w:rsidRPr="003D2ABC">
        <w:t xml:space="preserve"> or short videos on mathematical topics; 89 in total</w:t>
      </w:r>
      <w:r w:rsidR="00E27413">
        <w:t xml:space="preserve"> </w:t>
      </w:r>
      <w:r w:rsidR="008F1D8A">
        <w:t>attracting about 11,000 views in 2016.</w:t>
      </w:r>
      <w:r w:rsidR="009A468B">
        <w:t xml:space="preserve"> </w:t>
      </w:r>
      <w:r w:rsidRPr="003D2ABC">
        <w:t xml:space="preserve">The </w:t>
      </w:r>
      <w:proofErr w:type="spellStart"/>
      <w:r w:rsidR="009A468B">
        <w:t>MathsCasts</w:t>
      </w:r>
      <w:proofErr w:type="spellEnd"/>
      <w:r w:rsidR="009A468B">
        <w:t xml:space="preserve"> are </w:t>
      </w:r>
      <w:r w:rsidR="008F1D8A">
        <w:t xml:space="preserve">freely available on </w:t>
      </w:r>
      <w:r w:rsidR="008F1D8A" w:rsidRPr="003E7F91">
        <w:t>the MLC website</w:t>
      </w:r>
      <w:r w:rsidRPr="003D2ABC">
        <w:t>.</w:t>
      </w:r>
    </w:p>
    <w:p w14:paraId="6E1A7AFE" w14:textId="77777777" w:rsidR="007F41ED" w:rsidRPr="00A62D7C" w:rsidRDefault="003D2ABC" w:rsidP="003D2ABC">
      <w:pPr>
        <w:pStyle w:val="Body"/>
      </w:pPr>
      <w:r w:rsidRPr="00A62D7C">
        <w:t xml:space="preserve">However, video is </w:t>
      </w:r>
      <w:r w:rsidR="008F1D8A" w:rsidRPr="00A62D7C">
        <w:t xml:space="preserve">essentially </w:t>
      </w:r>
      <w:r w:rsidRPr="00A62D7C">
        <w:t>a passive medium, and by itself, passively listening or watc</w:t>
      </w:r>
      <w:r w:rsidRPr="00A62D7C">
        <w:t>h</w:t>
      </w:r>
      <w:r w:rsidRPr="00A62D7C">
        <w:t>ing others do mathematics ‘is in actua</w:t>
      </w:r>
      <w:r w:rsidR="00A311DE" w:rsidRPr="00A62D7C">
        <w:t>lity no learning’ (</w:t>
      </w:r>
      <w:proofErr w:type="spellStart"/>
      <w:r w:rsidR="00A311DE" w:rsidRPr="00A62D7C">
        <w:t>MacGillivray</w:t>
      </w:r>
      <w:proofErr w:type="spellEnd"/>
      <w:r w:rsidRPr="00A62D7C">
        <w:t xml:space="preserve"> 2009</w:t>
      </w:r>
      <w:r w:rsidR="00920752" w:rsidRPr="00A62D7C">
        <w:t>,</w:t>
      </w:r>
      <w:r w:rsidRPr="00A62D7C">
        <w:t xml:space="preserve"> p</w:t>
      </w:r>
      <w:r w:rsidR="00920752" w:rsidRPr="00A62D7C">
        <w:t>.</w:t>
      </w:r>
      <w:r w:rsidRPr="00A62D7C">
        <w:t xml:space="preserve"> 470). </w:t>
      </w:r>
    </w:p>
    <w:p w14:paraId="6790E755" w14:textId="4F6A7ECD" w:rsidR="00594696" w:rsidRDefault="003D2ABC" w:rsidP="00A90864">
      <w:pPr>
        <w:pStyle w:val="Body"/>
        <w:rPr>
          <w:lang w:val="en-AU"/>
        </w:rPr>
      </w:pPr>
      <w:r w:rsidRPr="00A62D7C">
        <w:t xml:space="preserve">For this reason, the </w:t>
      </w:r>
      <w:proofErr w:type="spellStart"/>
      <w:r w:rsidRPr="00A62D7C">
        <w:t>MathsCasts</w:t>
      </w:r>
      <w:proofErr w:type="spellEnd"/>
      <w:r w:rsidRPr="00A62D7C">
        <w:t xml:space="preserve"> were designed to compliment rather than replace the face-to-face pro</w:t>
      </w:r>
      <w:r w:rsidR="00A90864" w:rsidRPr="00A62D7C">
        <w:t xml:space="preserve">grams. All </w:t>
      </w:r>
      <w:proofErr w:type="spellStart"/>
      <w:r w:rsidR="00A90864" w:rsidRPr="00A62D7C">
        <w:t>MathsCasts</w:t>
      </w:r>
      <w:proofErr w:type="spellEnd"/>
      <w:r w:rsidR="00A90864" w:rsidRPr="00A62D7C">
        <w:t xml:space="preserve"> are linked to either our face-to-face mathematics bridging courses or to a specific university mathematics subject. Some </w:t>
      </w:r>
      <w:proofErr w:type="spellStart"/>
      <w:r w:rsidR="00A90864" w:rsidRPr="00A62D7C">
        <w:rPr>
          <w:lang w:val="en-AU"/>
        </w:rPr>
        <w:t>MathsCasts</w:t>
      </w:r>
      <w:proofErr w:type="spellEnd"/>
      <w:r w:rsidR="00A90864" w:rsidRPr="00A62D7C">
        <w:rPr>
          <w:lang w:val="en-AU"/>
        </w:rPr>
        <w:t xml:space="preserve"> incorporate exe</w:t>
      </w:r>
      <w:r w:rsidR="00A90864" w:rsidRPr="00A62D7C">
        <w:rPr>
          <w:lang w:val="en-AU"/>
        </w:rPr>
        <w:t>r</w:t>
      </w:r>
      <w:r w:rsidR="00A90864" w:rsidRPr="00A62D7C">
        <w:rPr>
          <w:lang w:val="en-AU"/>
        </w:rPr>
        <w:t xml:space="preserve">cises for students to ‘pause and try this for yourself’ with additional exercises provided in print form, while other </w:t>
      </w:r>
      <w:proofErr w:type="spellStart"/>
      <w:r w:rsidR="00C153E3" w:rsidRPr="00A62D7C">
        <w:rPr>
          <w:lang w:val="en-AU"/>
        </w:rPr>
        <w:t>MathCasts</w:t>
      </w:r>
      <w:proofErr w:type="spellEnd"/>
      <w:r w:rsidR="00A90864" w:rsidRPr="00A62D7C">
        <w:rPr>
          <w:lang w:val="en-AU"/>
        </w:rPr>
        <w:t xml:space="preserve"> are linked to particular question</w:t>
      </w:r>
      <w:r w:rsidR="00C153E3" w:rsidRPr="00A62D7C">
        <w:rPr>
          <w:lang w:val="en-AU"/>
        </w:rPr>
        <w:t>s in the subject tutorial problem sheets.</w:t>
      </w:r>
    </w:p>
    <w:p w14:paraId="7918F339" w14:textId="77777777" w:rsidR="00A90864" w:rsidRPr="00A90864" w:rsidRDefault="00A90864" w:rsidP="00A90864">
      <w:pPr>
        <w:pStyle w:val="Header1"/>
        <w:rPr>
          <w:lang w:val="en-AU"/>
        </w:rPr>
      </w:pPr>
    </w:p>
    <w:p w14:paraId="3D079D24" w14:textId="18DE4052" w:rsidR="00594696" w:rsidRPr="004066C1" w:rsidRDefault="00594696" w:rsidP="00594696">
      <w:pPr>
        <w:pStyle w:val="Header1"/>
        <w:rPr>
          <w:rFonts w:ascii="Verdana" w:hAnsi="Verdana"/>
        </w:rPr>
      </w:pPr>
      <w:r>
        <w:rPr>
          <w:rFonts w:ascii="Verdana" w:hAnsi="Verdana"/>
        </w:rPr>
        <w:t>3</w:t>
      </w:r>
      <w:r w:rsidRPr="004066C1">
        <w:rPr>
          <w:rFonts w:ascii="Verdana" w:hAnsi="Verdana"/>
        </w:rPr>
        <w:t xml:space="preserve">. </w:t>
      </w:r>
      <w:r w:rsidR="003E1124">
        <w:rPr>
          <w:rFonts w:ascii="Verdana" w:hAnsi="Verdana"/>
        </w:rPr>
        <w:t>Pressures on the provision of mathematics support</w:t>
      </w:r>
    </w:p>
    <w:p w14:paraId="6824522E" w14:textId="6A36BEA0" w:rsidR="00594696" w:rsidRDefault="00E131DF" w:rsidP="00594696">
      <w:pPr>
        <w:pStyle w:val="Body"/>
      </w:pPr>
      <w:r w:rsidRPr="00E131DF">
        <w:t xml:space="preserve">The non-core nature of mathematics learning support makes it vulnerable in times of cuts to university funding. </w:t>
      </w:r>
      <w:proofErr w:type="spellStart"/>
      <w:r w:rsidRPr="00E131DF">
        <w:t>MacGillivrary</w:t>
      </w:r>
      <w:proofErr w:type="spellEnd"/>
      <w:r w:rsidRPr="00E131DF">
        <w:t xml:space="preserve"> and Croft (2011</w:t>
      </w:r>
      <w:r w:rsidR="00C153E3">
        <w:t xml:space="preserve">, </w:t>
      </w:r>
      <w:r w:rsidR="00A62D7C" w:rsidRPr="006A22BF">
        <w:t>p. 191)</w:t>
      </w:r>
      <w:r w:rsidR="00A62D7C" w:rsidRPr="00E131DF">
        <w:t xml:space="preserve"> </w:t>
      </w:r>
      <w:r w:rsidRPr="00E131DF">
        <w:t xml:space="preserve">report that one of the themes that emerged in audits of mathematics support </w:t>
      </w:r>
      <w:proofErr w:type="spellStart"/>
      <w:r w:rsidRPr="00E131DF">
        <w:t>centres</w:t>
      </w:r>
      <w:proofErr w:type="spellEnd"/>
      <w:r w:rsidRPr="00E131DF">
        <w:t xml:space="preserve"> carried out in the Australia, Ireland and the UK is the lack of security of those </w:t>
      </w:r>
      <w:proofErr w:type="spellStart"/>
      <w:r w:rsidRPr="00E131DF">
        <w:t>centres</w:t>
      </w:r>
      <w:proofErr w:type="spellEnd"/>
      <w:r w:rsidRPr="00E131DF">
        <w:t>.  Perkin, Lawson and Croft (2013, p</w:t>
      </w:r>
      <w:r w:rsidR="00920752">
        <w:t>.</w:t>
      </w:r>
      <w:r w:rsidRPr="00E131DF">
        <w:t xml:space="preserve"> 171) found that mathematics support had decreased or ceased in some UK universities and ‘this seems, in the main, to relate to the lack of available funds or insufficient strategic lead’ and not because mathematics support was no longer needed</w:t>
      </w:r>
      <w:r w:rsidR="00594696" w:rsidRPr="00E131DF">
        <w:t>.</w:t>
      </w:r>
    </w:p>
    <w:p w14:paraId="580433CF" w14:textId="77777777" w:rsidR="00E131DF" w:rsidRPr="006E659E" w:rsidRDefault="00E131DF" w:rsidP="006E659E">
      <w:pPr>
        <w:pStyle w:val="Header2"/>
        <w:rPr>
          <w:rFonts w:ascii="Verdana" w:hAnsi="Verdana"/>
        </w:rPr>
      </w:pPr>
    </w:p>
    <w:p w14:paraId="6E9EAA9D" w14:textId="4F07592B" w:rsidR="00E131DF" w:rsidRPr="004066C1" w:rsidRDefault="00E131DF" w:rsidP="00E131DF">
      <w:pPr>
        <w:pStyle w:val="Header2"/>
        <w:rPr>
          <w:rFonts w:ascii="Verdana" w:hAnsi="Verdana"/>
        </w:rPr>
      </w:pPr>
      <w:r>
        <w:rPr>
          <w:rFonts w:ascii="Verdana" w:hAnsi="Verdana"/>
        </w:rPr>
        <w:t>3.1</w:t>
      </w:r>
      <w:r w:rsidRPr="004066C1">
        <w:rPr>
          <w:rFonts w:ascii="Verdana" w:hAnsi="Verdana"/>
        </w:rPr>
        <w:t xml:space="preserve">. </w:t>
      </w:r>
      <w:r>
        <w:rPr>
          <w:rFonts w:ascii="Verdana" w:hAnsi="Verdana"/>
        </w:rPr>
        <w:t>Economic Pressures at Institutional Level</w:t>
      </w:r>
    </w:p>
    <w:p w14:paraId="75A2474F" w14:textId="1D3DA6A0" w:rsidR="00E131DF" w:rsidRPr="00E131DF" w:rsidRDefault="00E131DF" w:rsidP="00E131DF">
      <w:pPr>
        <w:pStyle w:val="Body"/>
      </w:pPr>
      <w:r w:rsidRPr="00E131DF">
        <w:t>One of the ways that universities have attempted to make economies in mathematics su</w:t>
      </w:r>
      <w:r w:rsidRPr="00E131DF">
        <w:t>p</w:t>
      </w:r>
      <w:r w:rsidRPr="00E131DF">
        <w:t xml:space="preserve">port in Australia is to employ professional </w:t>
      </w:r>
      <w:proofErr w:type="gramStart"/>
      <w:r w:rsidRPr="00E131DF">
        <w:t xml:space="preserve">staff, </w:t>
      </w:r>
      <w:r w:rsidR="00653BA6" w:rsidRPr="003E7F91">
        <w:t>that</w:t>
      </w:r>
      <w:proofErr w:type="gramEnd"/>
      <w:r w:rsidR="00653BA6" w:rsidRPr="003E7F91">
        <w:t xml:space="preserve"> is</w:t>
      </w:r>
      <w:r w:rsidRPr="00E131DF">
        <w:t xml:space="preserve"> non-academic staff, in mathematics learning support roles. At WSU, one academic staff position was replaced by a professional staff position when the academic staff member retired. In 2013, at a Group of Eight unive</w:t>
      </w:r>
      <w:r w:rsidRPr="00E131DF">
        <w:t>r</w:t>
      </w:r>
      <w:r w:rsidRPr="00E131DF">
        <w:t xml:space="preserve">sity in Australia, there was an unsuccessful attempt to convert the academic positions of the </w:t>
      </w:r>
      <w:r w:rsidR="00853375">
        <w:t xml:space="preserve">mathematics support </w:t>
      </w:r>
      <w:proofErr w:type="spellStart"/>
      <w:r w:rsidR="00853375">
        <w:t>centre</w:t>
      </w:r>
      <w:proofErr w:type="spellEnd"/>
      <w:r w:rsidRPr="00E131DF">
        <w:t xml:space="preserve"> to professional staff positions. </w:t>
      </w:r>
    </w:p>
    <w:p w14:paraId="5E566C3F" w14:textId="30AEF451" w:rsidR="00BD78B5" w:rsidRDefault="00E131DF" w:rsidP="00BD78B5">
      <w:pPr>
        <w:pStyle w:val="Body"/>
      </w:pPr>
      <w:r w:rsidRPr="00E131DF">
        <w:t xml:space="preserve">The savings here are </w:t>
      </w:r>
      <w:r w:rsidR="00BD78B5">
        <w:t>twofold</w:t>
      </w:r>
      <w:r w:rsidR="00E27413">
        <w:t xml:space="preserve"> and </w:t>
      </w:r>
      <w:r w:rsidR="00BD78B5">
        <w:t>may reduce the quality of mathematics support offered to students</w:t>
      </w:r>
      <w:r w:rsidRPr="00E131DF">
        <w:t xml:space="preserve">. </w:t>
      </w:r>
      <w:r w:rsidR="00BD78B5">
        <w:t>Firstly, c</w:t>
      </w:r>
      <w:r w:rsidR="00397FE2">
        <w:t>lassifying</w:t>
      </w:r>
      <w:r w:rsidRPr="00E131DF">
        <w:t xml:space="preserve"> a position as professional remove</w:t>
      </w:r>
      <w:r w:rsidR="00397FE2">
        <w:t>s</w:t>
      </w:r>
      <w:r w:rsidRPr="00E131DF">
        <w:t xml:space="preserve"> the requirement of the staff member to do research or even to keep up with the research i</w:t>
      </w:r>
      <w:r w:rsidR="007B51EF">
        <w:t>n mathematics learning su</w:t>
      </w:r>
      <w:r w:rsidR="007B51EF">
        <w:t>p</w:t>
      </w:r>
      <w:r w:rsidR="007B51EF">
        <w:t xml:space="preserve">port. </w:t>
      </w:r>
      <w:r w:rsidR="00BD78B5">
        <w:t>However, over time, this may have</w:t>
      </w:r>
      <w:r w:rsidR="00BD78B5" w:rsidRPr="00966E72">
        <w:t xml:space="preserve"> a detrimental effect on student learning as teac</w:t>
      </w:r>
      <w:r w:rsidR="00BD78B5" w:rsidRPr="00966E72">
        <w:t>h</w:t>
      </w:r>
      <w:r w:rsidR="00BD78B5" w:rsidRPr="00966E72">
        <w:t xml:space="preserve">ing becomes ‘research uninformed and research </w:t>
      </w:r>
      <w:proofErr w:type="spellStart"/>
      <w:r w:rsidR="00BD78B5" w:rsidRPr="00966E72">
        <w:t>uninforming</w:t>
      </w:r>
      <w:proofErr w:type="spellEnd"/>
      <w:r w:rsidR="00BD78B5" w:rsidRPr="00966E72">
        <w:t>’ (</w:t>
      </w:r>
      <w:r w:rsidR="00A311DE">
        <w:t>B.</w:t>
      </w:r>
      <w:r w:rsidR="00BD78B5" w:rsidRPr="00966E72">
        <w:t xml:space="preserve"> James, </w:t>
      </w:r>
      <w:r w:rsidR="00A311DE">
        <w:t>personal</w:t>
      </w:r>
      <w:r w:rsidR="00BD78B5" w:rsidRPr="00966E72">
        <w:t xml:space="preserve"> commun</w:t>
      </w:r>
      <w:r w:rsidR="00BD78B5" w:rsidRPr="00966E72">
        <w:t>i</w:t>
      </w:r>
      <w:r w:rsidR="00BD78B5" w:rsidRPr="00966E72">
        <w:t>cation</w:t>
      </w:r>
      <w:r w:rsidR="00A311DE">
        <w:t>, Nov 2016</w:t>
      </w:r>
      <w:r w:rsidR="00BD78B5" w:rsidRPr="00966E72">
        <w:t>).</w:t>
      </w:r>
    </w:p>
    <w:p w14:paraId="001E551D" w14:textId="4B5D646F" w:rsidR="00BD78B5" w:rsidRPr="00966E72" w:rsidRDefault="00BD78B5" w:rsidP="00BD78B5">
      <w:pPr>
        <w:pStyle w:val="Body"/>
      </w:pPr>
      <w:r>
        <w:t>Secondly</w:t>
      </w:r>
      <w:r w:rsidR="007B51EF">
        <w:t>, p</w:t>
      </w:r>
      <w:r w:rsidR="007B51EF" w:rsidRPr="00966E72">
        <w:t xml:space="preserve">rofessional staff are denied </w:t>
      </w:r>
      <w:r w:rsidR="007B51EF">
        <w:t>a</w:t>
      </w:r>
      <w:r w:rsidR="007B51EF" w:rsidRPr="00966E72">
        <w:t xml:space="preserve"> well-defined career path available to academic staff – that of promotion</w:t>
      </w:r>
      <w:r w:rsidR="007B51EF">
        <w:t>. Hence a staff member in a professional position will be cheaper in the long run by preve</w:t>
      </w:r>
      <w:r w:rsidR="00E27413">
        <w:t>nting any</w:t>
      </w:r>
      <w:r w:rsidR="00397FE2">
        <w:t xml:space="preserve"> salary increases due to promotion</w:t>
      </w:r>
      <w:r w:rsidR="007B51EF" w:rsidRPr="00966E72">
        <w:t xml:space="preserve">. </w:t>
      </w:r>
      <w:r>
        <w:t>However</w:t>
      </w:r>
      <w:r w:rsidR="00844A13">
        <w:t>, a</w:t>
      </w:r>
      <w:r>
        <w:t>dvertising</w:t>
      </w:r>
      <w:r w:rsidRPr="00966E72">
        <w:t xml:space="preserve"> a </w:t>
      </w:r>
      <w:r w:rsidR="00E27413">
        <w:t xml:space="preserve">mathematics </w:t>
      </w:r>
      <w:r w:rsidRPr="00966E72">
        <w:t xml:space="preserve">support </w:t>
      </w:r>
      <w:r>
        <w:t>role</w:t>
      </w:r>
      <w:r w:rsidRPr="00966E72">
        <w:t xml:space="preserve"> as </w:t>
      </w:r>
      <w:r>
        <w:t>non-academic</w:t>
      </w:r>
      <w:r w:rsidRPr="00966E72">
        <w:t xml:space="preserve"> reduces the pool of qualified applicants by </w:t>
      </w:r>
      <w:r>
        <w:t>p</w:t>
      </w:r>
      <w:r>
        <w:t>o</w:t>
      </w:r>
      <w:r>
        <w:t xml:space="preserve">tentially </w:t>
      </w:r>
      <w:r w:rsidRPr="00966E72">
        <w:t xml:space="preserve">excluding </w:t>
      </w:r>
      <w:r w:rsidR="00844A13">
        <w:t xml:space="preserve">those </w:t>
      </w:r>
      <w:r w:rsidRPr="00966E72">
        <w:t>applicants interested in an aca</w:t>
      </w:r>
      <w:r>
        <w:t xml:space="preserve">demic career. </w:t>
      </w:r>
      <w:r w:rsidRPr="00966E72">
        <w:t>Su</w:t>
      </w:r>
      <w:r>
        <w:t>ch applicants</w:t>
      </w:r>
      <w:r w:rsidRPr="00966E72">
        <w:t xml:space="preserve"> may see </w:t>
      </w:r>
      <w:r>
        <w:t>a professional</w:t>
      </w:r>
      <w:r w:rsidRPr="00966E72">
        <w:t xml:space="preserve"> position as a ‘dead end’.</w:t>
      </w:r>
      <w:r>
        <w:t xml:space="preserve"> At one university, filling</w:t>
      </w:r>
      <w:r w:rsidRPr="00966E72">
        <w:t xml:space="preserve"> a mathematics support position with professional staff prov</w:t>
      </w:r>
      <w:r>
        <w:t>ed</w:t>
      </w:r>
      <w:r w:rsidRPr="00966E72">
        <w:t xml:space="preserve"> to be much more difficult than </w:t>
      </w:r>
      <w:r>
        <w:t>filling a similar pos</w:t>
      </w:r>
      <w:r>
        <w:t>i</w:t>
      </w:r>
      <w:r>
        <w:t xml:space="preserve">tion </w:t>
      </w:r>
      <w:r w:rsidRPr="00966E72">
        <w:t xml:space="preserve">with academic staff. </w:t>
      </w:r>
    </w:p>
    <w:p w14:paraId="5E11BD8D" w14:textId="575135B3" w:rsidR="007B51EF" w:rsidRDefault="002F3EF8" w:rsidP="00E131DF">
      <w:pPr>
        <w:pStyle w:val="Body"/>
        <w:rPr>
          <w:lang w:val="en-AU"/>
        </w:rPr>
      </w:pPr>
      <w:r>
        <w:rPr>
          <w:lang w:val="en-AU"/>
        </w:rPr>
        <w:t xml:space="preserve">The </w:t>
      </w:r>
      <w:proofErr w:type="spellStart"/>
      <w:r>
        <w:rPr>
          <w:lang w:val="en-AU"/>
        </w:rPr>
        <w:t>casualisation</w:t>
      </w:r>
      <w:proofErr w:type="spellEnd"/>
      <w:r>
        <w:rPr>
          <w:lang w:val="en-AU"/>
        </w:rPr>
        <w:t xml:space="preserve"> of</w:t>
      </w:r>
      <w:r w:rsidR="00E131DF" w:rsidRPr="00E131DF">
        <w:rPr>
          <w:lang w:val="en-AU"/>
        </w:rPr>
        <w:t xml:space="preserve"> </w:t>
      </w:r>
      <w:r>
        <w:rPr>
          <w:lang w:val="en-AU"/>
        </w:rPr>
        <w:t>teaching and the increasing number of staff on fixed-</w:t>
      </w:r>
      <w:r w:rsidR="00E131DF" w:rsidRPr="00E131DF">
        <w:rPr>
          <w:lang w:val="en-AU"/>
        </w:rPr>
        <w:t>term contract</w:t>
      </w:r>
      <w:r>
        <w:rPr>
          <w:lang w:val="en-AU"/>
        </w:rPr>
        <w:t>s</w:t>
      </w:r>
      <w:r w:rsidR="00E131DF" w:rsidRPr="00E131DF">
        <w:rPr>
          <w:lang w:val="en-AU"/>
        </w:rPr>
        <w:t xml:space="preserve"> in Australian universities</w:t>
      </w:r>
      <w:r>
        <w:rPr>
          <w:lang w:val="en-AU"/>
        </w:rPr>
        <w:t xml:space="preserve"> can </w:t>
      </w:r>
      <w:r w:rsidR="00844A13">
        <w:rPr>
          <w:lang w:val="en-AU"/>
        </w:rPr>
        <w:t xml:space="preserve">also </w:t>
      </w:r>
      <w:r w:rsidR="00F56837">
        <w:rPr>
          <w:lang w:val="en-AU"/>
        </w:rPr>
        <w:t>have</w:t>
      </w:r>
      <w:r>
        <w:rPr>
          <w:lang w:val="en-AU"/>
        </w:rPr>
        <w:t xml:space="preserve"> </w:t>
      </w:r>
      <w:r w:rsidR="00E131DF" w:rsidRPr="00E131DF">
        <w:rPr>
          <w:lang w:val="en-AU"/>
        </w:rPr>
        <w:t>a detrimental effect on providing mathematics support. As support staff are often in contact with students from many different subjects (more than 30 subjects in at least 10 disciplines in one semester at WSU), it takes considerable knowledge and experience to be able to give a high level of appropriate support for all rel</w:t>
      </w:r>
      <w:r w:rsidR="00E131DF" w:rsidRPr="00E131DF">
        <w:rPr>
          <w:lang w:val="en-AU"/>
        </w:rPr>
        <w:t>e</w:t>
      </w:r>
      <w:r w:rsidR="00E131DF" w:rsidRPr="00E131DF">
        <w:rPr>
          <w:lang w:val="en-AU"/>
        </w:rPr>
        <w:t xml:space="preserve">vant subjects. </w:t>
      </w:r>
      <w:r w:rsidR="00653BA6" w:rsidRPr="003E7F91">
        <w:rPr>
          <w:lang w:val="en-AU"/>
        </w:rPr>
        <w:t>K</w:t>
      </w:r>
      <w:r w:rsidR="00E131DF" w:rsidRPr="003E7F91">
        <w:rPr>
          <w:lang w:val="en-AU"/>
        </w:rPr>
        <w:t>nowledge</w:t>
      </w:r>
      <w:r w:rsidR="00653BA6" w:rsidRPr="003E7F91">
        <w:rPr>
          <w:lang w:val="en-AU"/>
        </w:rPr>
        <w:t xml:space="preserve"> of subject content,</w:t>
      </w:r>
      <w:r w:rsidR="00E131DF" w:rsidRPr="00E131DF">
        <w:rPr>
          <w:lang w:val="en-AU"/>
        </w:rPr>
        <w:t xml:space="preserve"> expectations of teaching academics, termino</w:t>
      </w:r>
      <w:r w:rsidR="00E131DF" w:rsidRPr="00E131DF">
        <w:rPr>
          <w:lang w:val="en-AU"/>
        </w:rPr>
        <w:t>l</w:t>
      </w:r>
      <w:r w:rsidR="00E131DF" w:rsidRPr="00E131DF">
        <w:rPr>
          <w:lang w:val="en-AU"/>
        </w:rPr>
        <w:t xml:space="preserve">ogy used and level of mastery expected, all enable support staff to better assist students. Consequently, it can take a full year before support </w:t>
      </w:r>
      <w:proofErr w:type="gramStart"/>
      <w:r w:rsidR="00E131DF" w:rsidRPr="00E131DF">
        <w:rPr>
          <w:lang w:val="en-AU"/>
        </w:rPr>
        <w:t>staff are</w:t>
      </w:r>
      <w:proofErr w:type="gramEnd"/>
      <w:r w:rsidR="00E131DF" w:rsidRPr="00E131DF">
        <w:rPr>
          <w:lang w:val="en-AU"/>
        </w:rPr>
        <w:t xml:space="preserve"> able to perform at optimal le</w:t>
      </w:r>
      <w:r w:rsidR="00E131DF" w:rsidRPr="00E131DF">
        <w:rPr>
          <w:lang w:val="en-AU"/>
        </w:rPr>
        <w:t>v</w:t>
      </w:r>
      <w:r w:rsidR="00E131DF" w:rsidRPr="00E131DF">
        <w:rPr>
          <w:lang w:val="en-AU"/>
        </w:rPr>
        <w:t xml:space="preserve">el. </w:t>
      </w:r>
    </w:p>
    <w:p w14:paraId="2F13DC8F" w14:textId="107FC936" w:rsidR="00844A13" w:rsidRDefault="002F3EF8" w:rsidP="00844A13">
      <w:pPr>
        <w:pStyle w:val="Body"/>
      </w:pPr>
      <w:r>
        <w:t>Furthermore, a</w:t>
      </w:r>
      <w:r w:rsidR="00E131DF" w:rsidRPr="00E131DF">
        <w:t xml:space="preserve">t times of budget pressure, a regular occurrence at many universities, casual </w:t>
      </w:r>
      <w:proofErr w:type="gramStart"/>
      <w:r w:rsidR="00E131DF" w:rsidRPr="00E131DF">
        <w:t>staff are</w:t>
      </w:r>
      <w:proofErr w:type="gramEnd"/>
      <w:r w:rsidR="00E131DF" w:rsidRPr="00E131DF">
        <w:t xml:space="preserve"> easy targets </w:t>
      </w:r>
      <w:r w:rsidR="00844A13">
        <w:t xml:space="preserve">for </w:t>
      </w:r>
      <w:r w:rsidR="00CA0095">
        <w:t xml:space="preserve">budget </w:t>
      </w:r>
      <w:r w:rsidR="00844A13">
        <w:t xml:space="preserve">cuts </w:t>
      </w:r>
      <w:r w:rsidR="00E131DF" w:rsidRPr="00E131DF">
        <w:t>with contract staff also at great risk when their co</w:t>
      </w:r>
      <w:r w:rsidR="00E131DF" w:rsidRPr="00E131DF">
        <w:t>n</w:t>
      </w:r>
      <w:r w:rsidR="00E131DF" w:rsidRPr="00E131DF">
        <w:t>tracts end</w:t>
      </w:r>
      <w:r w:rsidR="00844A13">
        <w:t>.</w:t>
      </w:r>
      <w:r w:rsidR="00844A13" w:rsidRPr="00844A13">
        <w:t xml:space="preserve"> </w:t>
      </w:r>
      <w:r w:rsidR="00844A13">
        <w:t>C</w:t>
      </w:r>
      <w:r w:rsidR="00844A13" w:rsidRPr="00966E72">
        <w:t>uttin</w:t>
      </w:r>
      <w:r w:rsidR="00844A13">
        <w:t xml:space="preserve">g staff, even if more staff </w:t>
      </w:r>
      <w:proofErr w:type="gramStart"/>
      <w:r w:rsidR="00844A13">
        <w:t>are</w:t>
      </w:r>
      <w:proofErr w:type="gramEnd"/>
      <w:r w:rsidR="00844A13">
        <w:t xml:space="preserve"> </w:t>
      </w:r>
      <w:r w:rsidR="00844A13" w:rsidRPr="00966E72">
        <w:t>hired in better times, means that institutio</w:t>
      </w:r>
      <w:r w:rsidR="00844A13" w:rsidRPr="00966E72">
        <w:t>n</w:t>
      </w:r>
      <w:r w:rsidR="00844A13" w:rsidRPr="00966E72">
        <w:t>al knowledge and staff expertise is</w:t>
      </w:r>
      <w:r w:rsidR="00844A13">
        <w:t xml:space="preserve"> lost and has to be redeveloped.</w:t>
      </w:r>
    </w:p>
    <w:p w14:paraId="7C92A3D8" w14:textId="280119F1" w:rsidR="00E7337A" w:rsidRPr="00844A13" w:rsidRDefault="00844A13" w:rsidP="00CA0095">
      <w:pPr>
        <w:pStyle w:val="Header2"/>
      </w:pPr>
      <w:r w:rsidRPr="00966E72">
        <w:t xml:space="preserve"> </w:t>
      </w:r>
    </w:p>
    <w:p w14:paraId="2FA855F0" w14:textId="37F8B246" w:rsidR="00E131DF" w:rsidRPr="004066C1" w:rsidRDefault="00E131DF" w:rsidP="00E131DF">
      <w:pPr>
        <w:pStyle w:val="Header2"/>
        <w:rPr>
          <w:rFonts w:ascii="Verdana" w:hAnsi="Verdana"/>
        </w:rPr>
      </w:pPr>
      <w:r>
        <w:rPr>
          <w:rFonts w:ascii="Verdana" w:hAnsi="Verdana"/>
        </w:rPr>
        <w:t>3.2</w:t>
      </w:r>
      <w:r w:rsidRPr="004066C1">
        <w:rPr>
          <w:rFonts w:ascii="Verdana" w:hAnsi="Verdana"/>
        </w:rPr>
        <w:t xml:space="preserve">. </w:t>
      </w:r>
      <w:r>
        <w:rPr>
          <w:rFonts w:ascii="Verdana" w:hAnsi="Verdana"/>
        </w:rPr>
        <w:t>Strategic Leadership at Institutional Level</w:t>
      </w:r>
    </w:p>
    <w:p w14:paraId="63F3756B" w14:textId="1532624C" w:rsidR="00E131DF" w:rsidRPr="00E131DF" w:rsidRDefault="00E131DF" w:rsidP="00E131DF">
      <w:pPr>
        <w:pStyle w:val="Body"/>
      </w:pPr>
      <w:r w:rsidRPr="00E131DF">
        <w:t>Strategic leadership is also of critical importance in establishing and maintaining mathema</w:t>
      </w:r>
      <w:r w:rsidRPr="00E131DF">
        <w:t>t</w:t>
      </w:r>
      <w:r w:rsidRPr="00E131DF">
        <w:t>ics support and ‘buy-in from a senior management “champion” is ne</w:t>
      </w:r>
      <w:r w:rsidR="00A311DE">
        <w:t>eded’ (Croft, Groves and Lawson</w:t>
      </w:r>
      <w:r w:rsidRPr="00E131DF">
        <w:t xml:space="preserve"> 2016, p</w:t>
      </w:r>
      <w:r w:rsidR="00920752">
        <w:t>.</w:t>
      </w:r>
      <w:r w:rsidRPr="00E131DF">
        <w:t xml:space="preserve"> 4). </w:t>
      </w:r>
    </w:p>
    <w:p w14:paraId="43E1CA73" w14:textId="13890834" w:rsidR="00E131DF" w:rsidRPr="00E131DF" w:rsidRDefault="00E131DF" w:rsidP="00E131DF">
      <w:pPr>
        <w:pStyle w:val="Body"/>
      </w:pPr>
      <w:r w:rsidRPr="00E131DF">
        <w:lastRenderedPageBreak/>
        <w:t>Unfortunately, there is a real risk to mathematics support when senior management chan</w:t>
      </w:r>
      <w:r w:rsidRPr="00E131DF">
        <w:t>g</w:t>
      </w:r>
      <w:r w:rsidRPr="00E131DF">
        <w:t>es</w:t>
      </w:r>
      <w:r w:rsidR="002F3EF8">
        <w:t xml:space="preserve"> </w:t>
      </w:r>
      <w:r w:rsidR="00F56837">
        <w:t>especially if a</w:t>
      </w:r>
      <w:r w:rsidR="002F3EF8">
        <w:t xml:space="preserve"> champion is lost</w:t>
      </w:r>
      <w:r w:rsidRPr="00E131DF">
        <w:t>. A change in leadership at the highest levels may be a</w:t>
      </w:r>
      <w:r w:rsidRPr="00E131DF">
        <w:t>c</w:t>
      </w:r>
      <w:r w:rsidRPr="00E131DF">
        <w:t>companied with changes to university governance, or changes to university funding models. These changes may have unintended consequences impacting on the provision of math</w:t>
      </w:r>
      <w:r w:rsidRPr="00E131DF">
        <w:t>e</w:t>
      </w:r>
      <w:r w:rsidRPr="00E131DF">
        <w:t>matics support. In the mid 1990s at the University of Sydney, a change to the university funding model saw the MLC effectively defunded and operating on budget deficits for seve</w:t>
      </w:r>
      <w:r w:rsidRPr="00E131DF">
        <w:t>r</w:t>
      </w:r>
      <w:r w:rsidRPr="00E131DF">
        <w:t>al years.</w:t>
      </w:r>
      <w:r w:rsidR="00E27413">
        <w:t xml:space="preserve"> More recently, the University</w:t>
      </w:r>
      <w:r w:rsidRPr="00E131DF">
        <w:t xml:space="preserve"> Economic Model has resulted in charges for dedicated space devolving to each department or unit. In 2014, this threatened the existence of the MLC Drop-in Centre and hence the way mathematics support was offered at the University of Sydney.</w:t>
      </w:r>
    </w:p>
    <w:p w14:paraId="67F4A69A" w14:textId="49548622" w:rsidR="00E131DF" w:rsidRDefault="00E131DF" w:rsidP="00E131DF">
      <w:pPr>
        <w:pStyle w:val="Body"/>
      </w:pPr>
      <w:r w:rsidRPr="00E131DF">
        <w:t>Moreover, even without major structural changes, a new senior manager may not unde</w:t>
      </w:r>
      <w:r w:rsidRPr="00E131DF">
        <w:t>r</w:t>
      </w:r>
      <w:r w:rsidRPr="00E131DF">
        <w:t>stand the cumulative nature of mathematics or how it is learned. He or she may even b</w:t>
      </w:r>
      <w:r w:rsidRPr="00E131DF">
        <w:t>e</w:t>
      </w:r>
      <w:r w:rsidRPr="00E131DF">
        <w:t>lieve that one can pick up missing skills easily and quickly. This can result in a senior ma</w:t>
      </w:r>
      <w:r w:rsidRPr="00E131DF">
        <w:t>n</w:t>
      </w:r>
      <w:r w:rsidRPr="00E131DF">
        <w:t>ager pushing particular models of mathematics support or teaching that are not best suited or even pedagogically sound</w:t>
      </w:r>
      <w:r>
        <w:t>.</w:t>
      </w:r>
    </w:p>
    <w:p w14:paraId="5ADBFFB2" w14:textId="77777777" w:rsidR="00E131DF" w:rsidRPr="006E659E" w:rsidRDefault="00E131DF" w:rsidP="006E659E">
      <w:pPr>
        <w:pStyle w:val="Header2"/>
        <w:rPr>
          <w:rFonts w:ascii="Verdana" w:hAnsi="Verdana"/>
        </w:rPr>
      </w:pPr>
    </w:p>
    <w:p w14:paraId="2599DC5D" w14:textId="13D8E1E3" w:rsidR="006E659E" w:rsidRDefault="006E659E" w:rsidP="006E659E">
      <w:pPr>
        <w:pStyle w:val="Header2"/>
        <w:rPr>
          <w:rFonts w:ascii="Verdana" w:hAnsi="Verdana"/>
        </w:rPr>
      </w:pPr>
      <w:r>
        <w:rPr>
          <w:rFonts w:ascii="Verdana" w:hAnsi="Verdana"/>
        </w:rPr>
        <w:t>3.3</w:t>
      </w:r>
      <w:r w:rsidRPr="004066C1">
        <w:rPr>
          <w:rFonts w:ascii="Verdana" w:hAnsi="Verdana"/>
        </w:rPr>
        <w:t xml:space="preserve">. </w:t>
      </w:r>
      <w:r>
        <w:rPr>
          <w:rFonts w:ascii="Verdana" w:hAnsi="Verdana"/>
        </w:rPr>
        <w:t>Face-to-face or not?</w:t>
      </w:r>
    </w:p>
    <w:p w14:paraId="111DDBA9" w14:textId="463FC1C4" w:rsidR="006E659E" w:rsidRPr="006E659E" w:rsidRDefault="0061290A" w:rsidP="006E659E">
      <w:pPr>
        <w:pStyle w:val="Body"/>
      </w:pPr>
      <w:r>
        <w:t xml:space="preserve">There has </w:t>
      </w:r>
      <w:r w:rsidR="006E659E" w:rsidRPr="006E659E">
        <w:t xml:space="preserve">been pressure, perhaps seen as a way to provide mathematics support more economically, to either substitute online mathematics support for more traditional face-to-face support or to ‘tweak the mix’ towards providing more online support at the expense of face-to-face support. </w:t>
      </w:r>
    </w:p>
    <w:p w14:paraId="7DC01525" w14:textId="77777777" w:rsidR="006E659E" w:rsidRPr="006E659E" w:rsidRDefault="006E659E" w:rsidP="006E659E">
      <w:pPr>
        <w:pStyle w:val="Body"/>
      </w:pPr>
      <w:r w:rsidRPr="006E659E">
        <w:t>However, communicating mathematics effectively to an under-prepared student is a difficult task involving a continual assessment of the student’s understanding. This is best acco</w:t>
      </w:r>
      <w:r w:rsidRPr="006E659E">
        <w:t>m</w:t>
      </w:r>
      <w:r w:rsidRPr="006E659E">
        <w:t>plished in the student’s presence.</w:t>
      </w:r>
    </w:p>
    <w:p w14:paraId="67400E69" w14:textId="7EFDA668" w:rsidR="006E659E" w:rsidRPr="006E659E" w:rsidRDefault="006E659E" w:rsidP="006E659E">
      <w:pPr>
        <w:pStyle w:val="Body"/>
      </w:pPr>
      <w:r w:rsidRPr="006E659E">
        <w:rPr>
          <w:lang w:val="en-AU"/>
        </w:rPr>
        <w:t>Goodyear (2007</w:t>
      </w:r>
      <w:r w:rsidR="00920752">
        <w:rPr>
          <w:lang w:val="en-AU"/>
        </w:rPr>
        <w:t>,</w:t>
      </w:r>
      <w:r w:rsidRPr="006E659E">
        <w:rPr>
          <w:lang w:val="en-AU"/>
        </w:rPr>
        <w:t xml:space="preserve"> p</w:t>
      </w:r>
      <w:r w:rsidR="00920752">
        <w:rPr>
          <w:lang w:val="en-AU"/>
        </w:rPr>
        <w:t>.</w:t>
      </w:r>
      <w:r w:rsidRPr="006E659E">
        <w:rPr>
          <w:lang w:val="en-AU"/>
        </w:rPr>
        <w:t xml:space="preserve"> 95) argues that co-presence (face-to-face) interaction ‘is “thick” with information, for example body language, gesture and silence’. He goes on to argue that face-to-face allows for ‘fluent timing of turn taking’ and the ‘efficiency and flexibility of “loose talk” allows rapid topic identification and shifting between topics’ — ‘good for arriving at outcomes for which there is no script’.</w:t>
      </w:r>
    </w:p>
    <w:p w14:paraId="2DFB1171" w14:textId="421D08ED" w:rsidR="006E659E" w:rsidRDefault="006E659E" w:rsidP="006E659E">
      <w:pPr>
        <w:pStyle w:val="Body"/>
      </w:pPr>
      <w:r w:rsidRPr="006E659E">
        <w:t>Without face-to-face interactions one loses the opportunity to push students to write, to take charge of a problem and to move from being a spectator to being an active participant in their mathematics or statistics. Frequently, one needs to read the very subtle signals that indicate when a student does not understand what is being done. At such times much gentle probing may be needed to determine the missing knowledge or misunderstandings that need to be addressed before progress is possible</w:t>
      </w:r>
      <w:r w:rsidR="002F3EF8">
        <w:t>.</w:t>
      </w:r>
    </w:p>
    <w:p w14:paraId="1D883271" w14:textId="050E8254" w:rsidR="00B83A4B" w:rsidRPr="00B83A4B" w:rsidRDefault="00B83A4B" w:rsidP="006E659E">
      <w:pPr>
        <w:pStyle w:val="Body"/>
        <w:rPr>
          <w:lang w:val="en-AU"/>
        </w:rPr>
      </w:pPr>
      <w:r w:rsidRPr="00B83A4B">
        <w:rPr>
          <w:lang w:val="en-AU"/>
        </w:rPr>
        <w:t>Even student/staff inter</w:t>
      </w:r>
      <w:r>
        <w:rPr>
          <w:lang w:val="en-AU"/>
        </w:rPr>
        <w:t xml:space="preserve">actions </w:t>
      </w:r>
      <w:r w:rsidR="00653BA6" w:rsidRPr="003E7F91">
        <w:rPr>
          <w:lang w:val="en-AU"/>
        </w:rPr>
        <w:t>via video links</w:t>
      </w:r>
      <w:r>
        <w:rPr>
          <w:lang w:val="en-AU"/>
        </w:rPr>
        <w:t xml:space="preserve"> do not </w:t>
      </w:r>
      <w:r w:rsidRPr="003E7F91">
        <w:rPr>
          <w:lang w:val="en-AU"/>
        </w:rPr>
        <w:t>have these advantages</w:t>
      </w:r>
      <w:r w:rsidR="00D01563" w:rsidRPr="003E7F91">
        <w:rPr>
          <w:lang w:val="en-AU"/>
        </w:rPr>
        <w:t>,</w:t>
      </w:r>
      <w:r>
        <w:rPr>
          <w:lang w:val="en-AU"/>
        </w:rPr>
        <w:t xml:space="preserve"> </w:t>
      </w:r>
      <w:r w:rsidRPr="00B83A4B">
        <w:rPr>
          <w:lang w:val="en-AU"/>
        </w:rPr>
        <w:t xml:space="preserve">and </w:t>
      </w:r>
      <w:r>
        <w:rPr>
          <w:lang w:val="en-AU"/>
        </w:rPr>
        <w:t>we</w:t>
      </w:r>
      <w:r w:rsidRPr="00B83A4B">
        <w:rPr>
          <w:lang w:val="en-AU"/>
        </w:rPr>
        <w:t xml:space="preserve"> </w:t>
      </w:r>
      <w:r>
        <w:rPr>
          <w:lang w:val="en-AU"/>
        </w:rPr>
        <w:t>su</w:t>
      </w:r>
      <w:r>
        <w:rPr>
          <w:lang w:val="en-AU"/>
        </w:rPr>
        <w:t>p</w:t>
      </w:r>
      <w:r>
        <w:rPr>
          <w:lang w:val="en-AU"/>
        </w:rPr>
        <w:t>port</w:t>
      </w:r>
      <w:r w:rsidRPr="00B83A4B">
        <w:rPr>
          <w:lang w:val="en-AU"/>
        </w:rPr>
        <w:t xml:space="preserve"> Goodyear (2007</w:t>
      </w:r>
      <w:r w:rsidR="00920752">
        <w:rPr>
          <w:lang w:val="en-AU"/>
        </w:rPr>
        <w:t>,</w:t>
      </w:r>
      <w:r w:rsidRPr="00B83A4B">
        <w:rPr>
          <w:lang w:val="en-AU"/>
        </w:rPr>
        <w:t xml:space="preserve"> p</w:t>
      </w:r>
      <w:r w:rsidR="00920752">
        <w:rPr>
          <w:lang w:val="en-AU"/>
        </w:rPr>
        <w:t>.</w:t>
      </w:r>
      <w:r w:rsidRPr="00B83A4B">
        <w:rPr>
          <w:lang w:val="en-AU"/>
        </w:rPr>
        <w:t xml:space="preserve"> 95) when he says ‘we have to have very good reasons for denying learners the chance to capitalize on the affordances of co-presence’. </w:t>
      </w:r>
      <w:r>
        <w:rPr>
          <w:lang w:val="en-AU"/>
        </w:rPr>
        <w:t>We</w:t>
      </w:r>
      <w:r w:rsidRPr="00B83A4B">
        <w:rPr>
          <w:lang w:val="en-AU"/>
        </w:rPr>
        <w:t xml:space="preserve"> believe this is true especia</w:t>
      </w:r>
      <w:r>
        <w:rPr>
          <w:lang w:val="en-AU"/>
        </w:rPr>
        <w:t>lly for students in mathema</w:t>
      </w:r>
      <w:r w:rsidRPr="003E7F91">
        <w:rPr>
          <w:lang w:val="en-AU"/>
        </w:rPr>
        <w:t>tic</w:t>
      </w:r>
      <w:r w:rsidR="00D01563" w:rsidRPr="003E7F91">
        <w:rPr>
          <w:lang w:val="en-AU"/>
        </w:rPr>
        <w:t>s</w:t>
      </w:r>
      <w:r>
        <w:rPr>
          <w:lang w:val="en-AU"/>
        </w:rPr>
        <w:t xml:space="preserve"> support.</w:t>
      </w:r>
    </w:p>
    <w:p w14:paraId="50B09904" w14:textId="77777777" w:rsidR="006E659E" w:rsidRPr="006E659E" w:rsidRDefault="006E659E" w:rsidP="006E659E">
      <w:pPr>
        <w:pStyle w:val="Header2"/>
        <w:rPr>
          <w:rFonts w:ascii="Verdana" w:hAnsi="Verdana"/>
        </w:rPr>
      </w:pPr>
    </w:p>
    <w:p w14:paraId="21EAFFE7" w14:textId="5F4670EA" w:rsidR="006E659E" w:rsidRDefault="006E659E" w:rsidP="006E659E">
      <w:pPr>
        <w:pStyle w:val="Header2"/>
        <w:rPr>
          <w:rFonts w:ascii="Verdana" w:hAnsi="Verdana"/>
        </w:rPr>
      </w:pPr>
      <w:r>
        <w:rPr>
          <w:rFonts w:ascii="Verdana" w:hAnsi="Verdana"/>
        </w:rPr>
        <w:t>3.4</w:t>
      </w:r>
      <w:r w:rsidRPr="004066C1">
        <w:rPr>
          <w:rFonts w:ascii="Verdana" w:hAnsi="Verdana"/>
        </w:rPr>
        <w:t xml:space="preserve">. </w:t>
      </w:r>
      <w:r>
        <w:rPr>
          <w:rFonts w:ascii="Verdana" w:hAnsi="Verdana"/>
        </w:rPr>
        <w:t>Pressures on Staff</w:t>
      </w:r>
    </w:p>
    <w:p w14:paraId="29F15500" w14:textId="2874D283" w:rsidR="006E659E" w:rsidRPr="006E659E" w:rsidRDefault="006E659E" w:rsidP="006E659E">
      <w:pPr>
        <w:pStyle w:val="Body"/>
      </w:pPr>
      <w:r>
        <w:t>Those</w:t>
      </w:r>
      <w:r>
        <w:rPr>
          <w:rFonts w:cs="Arial"/>
        </w:rPr>
        <w:t xml:space="preserve"> </w:t>
      </w:r>
      <w:r w:rsidRPr="006E659E">
        <w:t>of us who work in mathematics support usually do so out of a desire to improve the learning outcomes for students who are ‘at risk’ of failing or withdrawing from their math</w:t>
      </w:r>
      <w:r w:rsidRPr="006E659E">
        <w:t>e</w:t>
      </w:r>
      <w:r w:rsidRPr="006E659E">
        <w:t xml:space="preserve">matics subjects. </w:t>
      </w:r>
    </w:p>
    <w:p w14:paraId="6E712AA0" w14:textId="77777777" w:rsidR="006E659E" w:rsidRDefault="006E659E" w:rsidP="006E659E">
      <w:pPr>
        <w:pStyle w:val="Body"/>
      </w:pPr>
      <w:r w:rsidRPr="006E659E">
        <w:t>In recent years, there has been an increasing use of metrics to measure not only research quantity and quality, and grant success of academic staff in universities, but also teaching quality and success (Teelken, 2012). These metrics may be used in promotions and for a</w:t>
      </w:r>
      <w:r w:rsidRPr="006E659E">
        <w:t>s</w:t>
      </w:r>
      <w:r w:rsidRPr="006E659E">
        <w:t>sessing acceptable academic performance at yearly evaluations, and, as such, they must be taken seriously by staff.</w:t>
      </w:r>
    </w:p>
    <w:p w14:paraId="48E871F8" w14:textId="07F57B46" w:rsidR="006E659E" w:rsidRDefault="006E659E" w:rsidP="006E659E">
      <w:pPr>
        <w:pStyle w:val="Body"/>
      </w:pPr>
      <w:r w:rsidRPr="006E659E">
        <w:lastRenderedPageBreak/>
        <w:t>At the University of Sydney, at the time of writing, academic staff in standard teaching and research positions, including mathematics support staff, have workloads weighted according to a 40:40:20 model in research, teaching and administration. There are also expectations that each academic meets a ‘minimum standard’ for research, and consequences can be s</w:t>
      </w:r>
      <w:r w:rsidRPr="006E659E">
        <w:t>e</w:t>
      </w:r>
      <w:r w:rsidRPr="006E659E">
        <w:t xml:space="preserve">vere for staff </w:t>
      </w:r>
      <w:proofErr w:type="gramStart"/>
      <w:r w:rsidRPr="006E659E">
        <w:t>who</w:t>
      </w:r>
      <w:proofErr w:type="gramEnd"/>
      <w:r w:rsidRPr="006E659E">
        <w:t xml:space="preserve"> fail to do so. In 2011/12, academic staff </w:t>
      </w:r>
      <w:proofErr w:type="gramStart"/>
      <w:r w:rsidRPr="006E659E">
        <w:t>who</w:t>
      </w:r>
      <w:proofErr w:type="gramEnd"/>
      <w:r w:rsidRPr="006E659E">
        <w:t xml:space="preserve"> failed to meet the Univers</w:t>
      </w:r>
      <w:r w:rsidRPr="006E659E">
        <w:t>i</w:t>
      </w:r>
      <w:r w:rsidRPr="006E659E">
        <w:t xml:space="preserve">ty’s criteria for research active staff were targeted for redundancy. The metric </w:t>
      </w:r>
      <w:r w:rsidR="00077B76">
        <w:t>used</w:t>
      </w:r>
      <w:r w:rsidRPr="006E659E">
        <w:t xml:space="preserve"> consi</w:t>
      </w:r>
      <w:r w:rsidRPr="006E659E">
        <w:t>d</w:t>
      </w:r>
      <w:r w:rsidRPr="006E659E">
        <w:t>ered only research performance – teaching was deemed irrelevant to this exercise.</w:t>
      </w:r>
    </w:p>
    <w:p w14:paraId="22D4D364" w14:textId="7882395A" w:rsidR="006E659E" w:rsidRPr="006E659E" w:rsidRDefault="006E659E" w:rsidP="006E659E">
      <w:pPr>
        <w:pStyle w:val="Body"/>
      </w:pPr>
      <w:r w:rsidRPr="006E659E">
        <w:t>The pressure to publish</w:t>
      </w:r>
      <w:r w:rsidR="00BF65FD">
        <w:t>, arguably the most important crite</w:t>
      </w:r>
      <w:r w:rsidR="00BF65FD" w:rsidRPr="003E7F91">
        <w:t>ri</w:t>
      </w:r>
      <w:r w:rsidR="00D01563" w:rsidRPr="003E7F91">
        <w:t>on</w:t>
      </w:r>
      <w:r w:rsidR="00BF65FD">
        <w:t xml:space="preserve"> for promotion,</w:t>
      </w:r>
      <w:r w:rsidRPr="006E659E">
        <w:t xml:space="preserve"> puts the mathematics support academic in a quandary. Should staff continue to spend the time and ‘go the extra mile’ for their students and in doing so, put their teaching and their students’ learning before their research, or do they attend to the requirement for more research and increasing research quality? Failing to do the </w:t>
      </w:r>
      <w:proofErr w:type="gramStart"/>
      <w:r w:rsidRPr="006E659E">
        <w:t>latter,</w:t>
      </w:r>
      <w:proofErr w:type="gramEnd"/>
      <w:r w:rsidRPr="006E659E">
        <w:t xml:space="preserve"> leaves staff who support student lear</w:t>
      </w:r>
      <w:r w:rsidRPr="006E659E">
        <w:t>n</w:t>
      </w:r>
      <w:r w:rsidRPr="006E659E">
        <w:t xml:space="preserve">ing in the firing line. </w:t>
      </w:r>
    </w:p>
    <w:p w14:paraId="030895D2" w14:textId="5A1DD1E8" w:rsidR="00FE2041" w:rsidRDefault="006E659E" w:rsidP="0065562E">
      <w:pPr>
        <w:pStyle w:val="Body"/>
      </w:pPr>
      <w:r w:rsidRPr="006E659E">
        <w:t xml:space="preserve">There has also been more emphasis in recent years on </w:t>
      </w:r>
      <w:r w:rsidR="006E0F9C">
        <w:t xml:space="preserve">student evaluation of </w:t>
      </w:r>
      <w:r w:rsidRPr="006E659E">
        <w:t xml:space="preserve">teaching </w:t>
      </w:r>
      <w:r w:rsidR="006E0F9C">
        <w:t>(SET)</w:t>
      </w:r>
      <w:r w:rsidR="00EE26FE">
        <w:t xml:space="preserve"> by</w:t>
      </w:r>
      <w:r w:rsidRPr="006E659E">
        <w:t xml:space="preserve"> means of student surveys</w:t>
      </w:r>
      <w:r w:rsidR="00F56837">
        <w:t>.</w:t>
      </w:r>
      <w:r w:rsidRPr="006E659E">
        <w:t xml:space="preserve"> </w:t>
      </w:r>
      <w:r w:rsidR="00A311DE">
        <w:t xml:space="preserve">However, the findings of </w:t>
      </w:r>
      <w:proofErr w:type="spellStart"/>
      <w:r w:rsidR="00A311DE">
        <w:t>Uttl</w:t>
      </w:r>
      <w:proofErr w:type="spellEnd"/>
      <w:r w:rsidR="00A311DE">
        <w:t>, White and Gonzales (2017</w:t>
      </w:r>
      <w:r w:rsidR="00C153E3">
        <w:t>,</w:t>
      </w:r>
      <w:r w:rsidR="006E0F9C">
        <w:t xml:space="preserve"> p</w:t>
      </w:r>
      <w:r w:rsidR="00920752">
        <w:t>.</w:t>
      </w:r>
      <w:r w:rsidR="006E0F9C">
        <w:t xml:space="preserve"> 22) suggest that there are ‘no significant correlations between SET ratings and learning’, and </w:t>
      </w:r>
      <w:r w:rsidRPr="003E7F91">
        <w:t>paradoxically</w:t>
      </w:r>
      <w:r w:rsidR="00D01563" w:rsidRPr="003E7F91">
        <w:t>,</w:t>
      </w:r>
      <w:r w:rsidRPr="006E659E">
        <w:t xml:space="preserve"> </w:t>
      </w:r>
      <w:r w:rsidR="006E0F9C">
        <w:t xml:space="preserve">using such metrics </w:t>
      </w:r>
      <w:r w:rsidRPr="006E659E">
        <w:t>may have the effect of depreciating the teaching qua</w:t>
      </w:r>
      <w:r w:rsidRPr="006E659E">
        <w:t>l</w:t>
      </w:r>
      <w:r w:rsidRPr="006E659E">
        <w:t>ity due to ‘increased workloads and administrative processes</w:t>
      </w:r>
      <w:r w:rsidR="006E0F9C">
        <w:t>’</w:t>
      </w:r>
      <w:r w:rsidR="00A311DE">
        <w:t xml:space="preserve"> (</w:t>
      </w:r>
      <w:proofErr w:type="spellStart"/>
      <w:r w:rsidR="00A311DE">
        <w:t>Teelken</w:t>
      </w:r>
      <w:proofErr w:type="spellEnd"/>
      <w:r w:rsidRPr="006E659E">
        <w:t xml:space="preserve"> 2012, p</w:t>
      </w:r>
      <w:r w:rsidR="00920752">
        <w:t>.</w:t>
      </w:r>
      <w:r w:rsidRPr="006E659E">
        <w:t xml:space="preserve"> 286). </w:t>
      </w:r>
      <w:r w:rsidR="004614A4">
        <w:t>Ev</w:t>
      </w:r>
      <w:r w:rsidR="004614A4">
        <w:t>i</w:t>
      </w:r>
      <w:r w:rsidR="004614A4">
        <w:t>dence</w:t>
      </w:r>
      <w:r w:rsidRPr="006E659E">
        <w:t xml:space="preserve"> of ‘good teaching’ from </w:t>
      </w:r>
      <w:r w:rsidR="004614A4">
        <w:t>SET surveys</w:t>
      </w:r>
      <w:r w:rsidRPr="006E659E">
        <w:t xml:space="preserve"> may measure whether stud</w:t>
      </w:r>
      <w:r w:rsidR="00A311DE">
        <w:t>ents like the lecturer (</w:t>
      </w:r>
      <w:proofErr w:type="spellStart"/>
      <w:r w:rsidR="00A311DE">
        <w:t>Teelken</w:t>
      </w:r>
      <w:proofErr w:type="spellEnd"/>
      <w:r w:rsidRPr="006E659E">
        <w:t xml:space="preserve"> 2012</w:t>
      </w:r>
      <w:r w:rsidR="007706FD">
        <w:t>, p. 285</w:t>
      </w:r>
      <w:r w:rsidRPr="006E659E">
        <w:t>)</w:t>
      </w:r>
      <w:r w:rsidR="000916B5">
        <w:t>,</w:t>
      </w:r>
      <w:r w:rsidRPr="006E659E">
        <w:t xml:space="preserve"> </w:t>
      </w:r>
      <w:r w:rsidR="000916B5" w:rsidRPr="006E659E">
        <w:t xml:space="preserve">student </w:t>
      </w:r>
      <w:r w:rsidR="000916B5">
        <w:t>satisfaction</w:t>
      </w:r>
      <w:r w:rsidR="00FE2041">
        <w:t xml:space="preserve">, </w:t>
      </w:r>
      <w:r w:rsidR="000916B5">
        <w:t>student perceptions of their course experience</w:t>
      </w:r>
      <w:r w:rsidR="00FE2041">
        <w:t xml:space="preserve"> or student interest</w:t>
      </w:r>
      <w:r w:rsidR="002616B6">
        <w:t xml:space="preserve"> </w:t>
      </w:r>
      <w:r w:rsidRPr="006E659E">
        <w:t>and not teaching effectiveness</w:t>
      </w:r>
      <w:r w:rsidR="000916B5">
        <w:t xml:space="preserve"> (</w:t>
      </w:r>
      <w:proofErr w:type="spellStart"/>
      <w:r w:rsidR="000916B5">
        <w:t>Uttl</w:t>
      </w:r>
      <w:proofErr w:type="spellEnd"/>
      <w:r w:rsidR="00A311DE">
        <w:t xml:space="preserve"> et al.</w:t>
      </w:r>
      <w:r w:rsidR="000916B5">
        <w:t xml:space="preserve"> 2017</w:t>
      </w:r>
      <w:r w:rsidR="0065562E">
        <w:t>).</w:t>
      </w:r>
      <w:r w:rsidR="0065562E" w:rsidRPr="0065562E">
        <w:t xml:space="preserve"> </w:t>
      </w:r>
    </w:p>
    <w:p w14:paraId="5FBB66BE" w14:textId="5EA24F72" w:rsidR="006E659E" w:rsidRDefault="0065562E" w:rsidP="004614A4">
      <w:pPr>
        <w:pStyle w:val="Body"/>
      </w:pPr>
      <w:proofErr w:type="spellStart"/>
      <w:r>
        <w:t>Uttl</w:t>
      </w:r>
      <w:proofErr w:type="spellEnd"/>
      <w:r>
        <w:t xml:space="preserve"> et al</w:t>
      </w:r>
      <w:r w:rsidR="008472BC">
        <w:t>.</w:t>
      </w:r>
      <w:r>
        <w:t xml:space="preserve"> (2017, p</w:t>
      </w:r>
      <w:r w:rsidR="00920752">
        <w:t>.</w:t>
      </w:r>
      <w:r>
        <w:t xml:space="preserve"> 40) suggest that academic staff ‘face a stark dilemma’ of teaching to obtain good student ratings ‘and be promoted’ or teaching to promote student learning, ‘and be terminat</w:t>
      </w:r>
      <w:r w:rsidR="00FE2041">
        <w:t>ed’</w:t>
      </w:r>
      <w:r>
        <w:t xml:space="preserve">. </w:t>
      </w:r>
      <w:r w:rsidR="006E659E" w:rsidRPr="006E659E">
        <w:t xml:space="preserve">It has already been noted that to learn mathematics students must do mathematics. So insisting that students to do mathematics, rather than watch someone else do the mathematics is better for student learning, </w:t>
      </w:r>
      <w:r w:rsidR="006E659E" w:rsidRPr="003E7F91">
        <w:t xml:space="preserve">but it </w:t>
      </w:r>
      <w:r w:rsidR="001900F2" w:rsidRPr="003E7F91">
        <w:t>is harder for students and so</w:t>
      </w:r>
      <w:r w:rsidR="001900F2">
        <w:t xml:space="preserve"> </w:t>
      </w:r>
      <w:r w:rsidR="006E659E" w:rsidRPr="006E659E">
        <w:t xml:space="preserve">may not lead to good student evaluations. </w:t>
      </w:r>
    </w:p>
    <w:p w14:paraId="0BADC0B6" w14:textId="0AC51BE1" w:rsidR="00EE26FE" w:rsidRDefault="00C83DF3" w:rsidP="004614A4">
      <w:pPr>
        <w:pStyle w:val="Body"/>
      </w:pPr>
      <w:r>
        <w:t>In</w:t>
      </w:r>
      <w:r w:rsidR="00EE26FE">
        <w:t xml:space="preserve"> the era of performance management</w:t>
      </w:r>
      <w:r>
        <w:t>,</w:t>
      </w:r>
      <w:r w:rsidR="00EE26FE" w:rsidRPr="006E659E">
        <w:t xml:space="preserve"> </w:t>
      </w:r>
      <w:r>
        <w:t>an academic staff member has the unenviable task of balancing their students’ needs against their own</w:t>
      </w:r>
      <w:r w:rsidR="00BF65FD">
        <w:t xml:space="preserve"> survival as an academic</w:t>
      </w:r>
      <w:r>
        <w:t>.</w:t>
      </w:r>
      <w:r w:rsidR="00FE2041" w:rsidRPr="00FE2041">
        <w:t xml:space="preserve"> </w:t>
      </w:r>
    </w:p>
    <w:p w14:paraId="502C038D" w14:textId="77777777" w:rsidR="004614A4" w:rsidRPr="00FE2041" w:rsidRDefault="004614A4" w:rsidP="004614A4">
      <w:pPr>
        <w:pStyle w:val="Header2"/>
        <w:rPr>
          <w:rFonts w:ascii="Verdana" w:hAnsi="Verdana"/>
        </w:rPr>
      </w:pPr>
    </w:p>
    <w:p w14:paraId="336163B6" w14:textId="26B178D2" w:rsidR="006E659E" w:rsidRDefault="00F56837" w:rsidP="006E659E">
      <w:pPr>
        <w:pStyle w:val="Header2"/>
        <w:rPr>
          <w:rFonts w:ascii="Verdana" w:hAnsi="Verdana"/>
        </w:rPr>
      </w:pPr>
      <w:r>
        <w:rPr>
          <w:rFonts w:ascii="Verdana" w:hAnsi="Verdana"/>
        </w:rPr>
        <w:t>3.5</w:t>
      </w:r>
      <w:r w:rsidR="006E659E" w:rsidRPr="004066C1">
        <w:rPr>
          <w:rFonts w:ascii="Verdana" w:hAnsi="Verdana"/>
        </w:rPr>
        <w:t xml:space="preserve">. </w:t>
      </w:r>
      <w:r w:rsidR="006E659E">
        <w:rPr>
          <w:rFonts w:ascii="Verdana" w:hAnsi="Verdana"/>
        </w:rPr>
        <w:t>Pressures on St</w:t>
      </w:r>
      <w:r>
        <w:rPr>
          <w:rFonts w:ascii="Verdana" w:hAnsi="Verdana"/>
        </w:rPr>
        <w:t>udents</w:t>
      </w:r>
    </w:p>
    <w:p w14:paraId="593DBA82" w14:textId="2A8E24E3" w:rsidR="00F56837" w:rsidRDefault="00010F5D" w:rsidP="006E659E">
      <w:pPr>
        <w:pStyle w:val="Body"/>
      </w:pPr>
      <w:r>
        <w:t>University s</w:t>
      </w:r>
      <w:r w:rsidR="00F56837">
        <w:t>tudents are increasingly under economic pressure</w:t>
      </w:r>
      <w:r>
        <w:t xml:space="preserve"> and time pressure; from</w:t>
      </w:r>
      <w:r w:rsidR="00F56837">
        <w:t xml:space="preserve"> i</w:t>
      </w:r>
      <w:r w:rsidR="00F56837">
        <w:t>n</w:t>
      </w:r>
      <w:r w:rsidR="00F56837">
        <w:t xml:space="preserve">creased tuition fees </w:t>
      </w:r>
      <w:r>
        <w:t xml:space="preserve">and </w:t>
      </w:r>
      <w:r w:rsidR="00F56837">
        <w:t>increased work commitments.</w:t>
      </w:r>
    </w:p>
    <w:p w14:paraId="600CBB76" w14:textId="2A29E0C6" w:rsidR="00F56837" w:rsidRPr="00966E72" w:rsidRDefault="00F56837" w:rsidP="00F56837">
      <w:pPr>
        <w:pStyle w:val="Body"/>
      </w:pPr>
      <w:r w:rsidRPr="00966E72">
        <w:t xml:space="preserve">University education in Australia is not free. An Australian student who is studying science or engineering full-time will pay, or if they access the government loan scheme owe, tuition fees of $9,050 in 2017. </w:t>
      </w:r>
      <w:r w:rsidR="00010F5D">
        <w:t xml:space="preserve">Over the past 20 years, tuition fees have increased in real terms and are </w:t>
      </w:r>
      <w:r w:rsidRPr="00966E72">
        <w:t xml:space="preserve">expected to increase by an additional 7.5% by 2021 with graduates being required to repay their debt sooner and faster. </w:t>
      </w:r>
    </w:p>
    <w:p w14:paraId="7006B98C" w14:textId="474A92A2" w:rsidR="006E659E" w:rsidRPr="006E659E" w:rsidRDefault="006E659E" w:rsidP="006E659E">
      <w:pPr>
        <w:pStyle w:val="Body"/>
      </w:pPr>
      <w:r w:rsidRPr="006E659E">
        <w:t>In 2014, an estimated 53% of first year university students were in paid work with 33% of full-time students and 42% of part-time students reporting that part-time or casual work was their only source of income. (</w:t>
      </w:r>
      <w:proofErr w:type="spellStart"/>
      <w:r w:rsidRPr="006E659E">
        <w:t>Baik</w:t>
      </w:r>
      <w:proofErr w:type="spellEnd"/>
      <w:r w:rsidRPr="006E659E">
        <w:t>, Nayl</w:t>
      </w:r>
      <w:r w:rsidR="00A311DE">
        <w:t xml:space="preserve">or &amp; </w:t>
      </w:r>
      <w:proofErr w:type="spellStart"/>
      <w:r w:rsidR="00A311DE">
        <w:t>Arkoudis</w:t>
      </w:r>
      <w:proofErr w:type="spellEnd"/>
      <w:r w:rsidRPr="006E659E">
        <w:t xml:space="preserve"> 2015, p</w:t>
      </w:r>
      <w:r w:rsidR="00920752">
        <w:t>.</w:t>
      </w:r>
      <w:r w:rsidRPr="006E659E">
        <w:t xml:space="preserve"> 54-56).</w:t>
      </w:r>
    </w:p>
    <w:p w14:paraId="75184109" w14:textId="6D4AD609" w:rsidR="006E659E" w:rsidRPr="006E659E" w:rsidRDefault="006E659E" w:rsidP="006E659E">
      <w:pPr>
        <w:pStyle w:val="Body"/>
      </w:pPr>
      <w:r w:rsidRPr="006E659E">
        <w:t xml:space="preserve">In their survey </w:t>
      </w:r>
      <w:r w:rsidR="00077B76">
        <w:t xml:space="preserve">of first year </w:t>
      </w:r>
      <w:r w:rsidRPr="006E659E">
        <w:t xml:space="preserve">students across eight Australian universities, </w:t>
      </w:r>
      <w:proofErr w:type="spellStart"/>
      <w:r w:rsidRPr="006E659E">
        <w:t>Baik</w:t>
      </w:r>
      <w:proofErr w:type="spellEnd"/>
      <w:r w:rsidRPr="006E659E">
        <w:t xml:space="preserve"> et al</w:t>
      </w:r>
      <w:r w:rsidR="008472BC">
        <w:t>.</w:t>
      </w:r>
      <w:r w:rsidRPr="006E659E">
        <w:t xml:space="preserve"> (2015, p</w:t>
      </w:r>
      <w:r w:rsidR="00920752">
        <w:t>.</w:t>
      </w:r>
      <w:r w:rsidRPr="006E659E">
        <w:t xml:space="preserve"> 57) found that 77% of younger students (≤ 19 years old) work ‘to afford extras (such as travel, [or] entertainment)’ or ‘to be more financially independent of their families’ (72%), but 51% of this group also work ‘to meet basic needs’ including rent, food and transport. The percentage of students who work to meet basic needs increases for older students: 75% for students aged 20-24, and 79% for students over 25 years old (</w:t>
      </w:r>
      <w:proofErr w:type="spellStart"/>
      <w:r w:rsidRPr="006E659E">
        <w:t>Baik</w:t>
      </w:r>
      <w:proofErr w:type="spellEnd"/>
      <w:r w:rsidRPr="006E659E">
        <w:t xml:space="preserve"> et al</w:t>
      </w:r>
      <w:r w:rsidR="008472BC">
        <w:t>.</w:t>
      </w:r>
      <w:r w:rsidRPr="006E659E">
        <w:t xml:space="preserve"> 2015, p</w:t>
      </w:r>
      <w:r w:rsidR="00920752">
        <w:t>.</w:t>
      </w:r>
      <w:r w:rsidRPr="006E659E">
        <w:t xml:space="preserve"> 57).</w:t>
      </w:r>
      <w:r w:rsidR="00D520DA">
        <w:t xml:space="preserve"> Interestingly, 37% of the 19 and under age group reported that they undertake paid work to save in order to repay their government debt (</w:t>
      </w:r>
      <w:proofErr w:type="spellStart"/>
      <w:r w:rsidR="00D520DA">
        <w:t>Baik</w:t>
      </w:r>
      <w:proofErr w:type="spellEnd"/>
      <w:r w:rsidR="00D520DA">
        <w:t xml:space="preserve"> et al</w:t>
      </w:r>
      <w:r w:rsidR="008472BC">
        <w:t>.</w:t>
      </w:r>
      <w:r w:rsidR="00D520DA">
        <w:t xml:space="preserve"> 2015, p</w:t>
      </w:r>
      <w:r w:rsidR="00920752">
        <w:t>.</w:t>
      </w:r>
      <w:r w:rsidR="00D520DA">
        <w:t xml:space="preserve"> 57).</w:t>
      </w:r>
    </w:p>
    <w:p w14:paraId="66D87A2F" w14:textId="6B01FC92" w:rsidR="006E659E" w:rsidRPr="006E659E" w:rsidRDefault="00302A29" w:rsidP="006E659E">
      <w:pPr>
        <w:pStyle w:val="Body"/>
      </w:pPr>
      <w:r>
        <w:lastRenderedPageBreak/>
        <w:t>Financial pressures on students are increasing as a higher percentage of the costs of a un</w:t>
      </w:r>
      <w:r>
        <w:t>i</w:t>
      </w:r>
      <w:r>
        <w:t>versity education are now borne by the students themselves. Consequently, t</w:t>
      </w:r>
      <w:r w:rsidR="006E659E" w:rsidRPr="006E659E">
        <w:t xml:space="preserve">he number of hours that students spend in paid work has been increasing for the last 20 years with </w:t>
      </w:r>
      <w:r w:rsidR="006E659E" w:rsidRPr="003E7F91">
        <w:t>st</w:t>
      </w:r>
      <w:r w:rsidR="006E659E" w:rsidRPr="003E7F91">
        <w:t>u</w:t>
      </w:r>
      <w:r w:rsidR="001900F2" w:rsidRPr="003E7F91">
        <w:t>dents earning money for</w:t>
      </w:r>
      <w:r w:rsidR="001900F2">
        <w:t xml:space="preserve"> </w:t>
      </w:r>
      <w:r w:rsidR="006E659E" w:rsidRPr="006E659E">
        <w:t>an estimated average of 14.5 hours per week in 2014 (</w:t>
      </w:r>
      <w:proofErr w:type="spellStart"/>
      <w:r w:rsidR="006E659E" w:rsidRPr="006E659E">
        <w:t>Baik</w:t>
      </w:r>
      <w:proofErr w:type="spellEnd"/>
      <w:r w:rsidR="006E659E" w:rsidRPr="006E659E">
        <w:t xml:space="preserve"> et al</w:t>
      </w:r>
      <w:r w:rsidR="008472BC">
        <w:t>.</w:t>
      </w:r>
      <w:r w:rsidR="006E659E" w:rsidRPr="006E659E">
        <w:t xml:space="preserve"> 2015, p</w:t>
      </w:r>
      <w:r w:rsidR="00920752">
        <w:t>.</w:t>
      </w:r>
      <w:r w:rsidR="006E659E" w:rsidRPr="006E659E">
        <w:t xml:space="preserve"> 58).</w:t>
      </w:r>
    </w:p>
    <w:p w14:paraId="7F370A90" w14:textId="46435D0F" w:rsidR="006E659E" w:rsidRPr="006E659E" w:rsidRDefault="006E659E" w:rsidP="006E659E">
      <w:pPr>
        <w:pStyle w:val="Body"/>
      </w:pPr>
      <w:r w:rsidRPr="006E659E">
        <w:t>It is, therefore, not surprising that 66% of working students report ‘that their financial si</w:t>
      </w:r>
      <w:r w:rsidRPr="006E659E">
        <w:t>t</w:t>
      </w:r>
      <w:r w:rsidRPr="006E659E">
        <w:t>uation is a source of worry’ or that for 55% of working students ‘work interferes with study’ with 24% of students reporting that they miss class to work (</w:t>
      </w:r>
      <w:proofErr w:type="spellStart"/>
      <w:r w:rsidRPr="006E659E">
        <w:t>Baik</w:t>
      </w:r>
      <w:proofErr w:type="spellEnd"/>
      <w:r w:rsidRPr="006E659E">
        <w:t xml:space="preserve"> et al</w:t>
      </w:r>
      <w:r w:rsidR="008472BC">
        <w:t>.</w:t>
      </w:r>
      <w:r w:rsidRPr="006E659E">
        <w:t xml:space="preserve"> 2015, p</w:t>
      </w:r>
      <w:r w:rsidR="00920752">
        <w:t>.</w:t>
      </w:r>
      <w:r w:rsidRPr="006E659E">
        <w:t xml:space="preserve"> 59). </w:t>
      </w:r>
    </w:p>
    <w:p w14:paraId="1110B0D9" w14:textId="77777777" w:rsidR="006E659E" w:rsidRPr="006E659E" w:rsidRDefault="006E659E" w:rsidP="006E659E">
      <w:pPr>
        <w:pStyle w:val="Body"/>
        <w:rPr>
          <w:lang w:val="en-AU"/>
        </w:rPr>
      </w:pPr>
      <w:r w:rsidRPr="006E659E">
        <w:t>An example of a negative consequence of paid work is that at</w:t>
      </w:r>
      <w:r w:rsidRPr="006E659E">
        <w:rPr>
          <w:lang w:val="en-AU"/>
        </w:rPr>
        <w:t xml:space="preserve"> WSU recently, of 21 students who registered for a mathematics bridging course but did not attend, 28.6% said the reason for their non-attendance was that they had to work. </w:t>
      </w:r>
    </w:p>
    <w:p w14:paraId="70230BAB" w14:textId="09681679" w:rsidR="00FE2041" w:rsidRPr="00BF65FD" w:rsidRDefault="00302A29" w:rsidP="00FE2041">
      <w:pPr>
        <w:pStyle w:val="Body"/>
        <w:rPr>
          <w:lang w:val="en-AU"/>
        </w:rPr>
      </w:pPr>
      <w:r>
        <w:rPr>
          <w:lang w:val="en-AU"/>
        </w:rPr>
        <w:t>The time</w:t>
      </w:r>
      <w:r w:rsidR="006E659E" w:rsidRPr="006E659E">
        <w:rPr>
          <w:lang w:val="en-AU"/>
        </w:rPr>
        <w:t xml:space="preserve"> devoted to using mathematics support, such as drop-in sessions or special wor</w:t>
      </w:r>
      <w:r w:rsidR="006E659E" w:rsidRPr="006E659E">
        <w:rPr>
          <w:lang w:val="en-AU"/>
        </w:rPr>
        <w:t>k</w:t>
      </w:r>
      <w:r w:rsidR="006E659E" w:rsidRPr="006E659E">
        <w:rPr>
          <w:lang w:val="en-AU"/>
        </w:rPr>
        <w:t>shops</w:t>
      </w:r>
      <w:r w:rsidR="00724C5A">
        <w:rPr>
          <w:lang w:val="en-AU"/>
        </w:rPr>
        <w:t>,</w:t>
      </w:r>
      <w:r w:rsidR="006E659E" w:rsidRPr="006E659E">
        <w:rPr>
          <w:lang w:val="en-AU"/>
        </w:rPr>
        <w:t xml:space="preserve"> </w:t>
      </w:r>
      <w:r w:rsidR="00724C5A">
        <w:rPr>
          <w:lang w:val="en-AU"/>
        </w:rPr>
        <w:t>is</w:t>
      </w:r>
      <w:r w:rsidR="006E659E" w:rsidRPr="006E659E">
        <w:rPr>
          <w:lang w:val="en-AU"/>
        </w:rPr>
        <w:t xml:space="preserve"> in addition to timetabled activities, and thus may </w:t>
      </w:r>
      <w:r w:rsidR="00477DC7">
        <w:rPr>
          <w:lang w:val="en-AU"/>
        </w:rPr>
        <w:t xml:space="preserve">prove </w:t>
      </w:r>
      <w:r w:rsidR="006E659E" w:rsidRPr="006E659E">
        <w:rPr>
          <w:lang w:val="en-AU"/>
        </w:rPr>
        <w:t>difficult for students to</w:t>
      </w:r>
      <w:r w:rsidR="00067D82">
        <w:rPr>
          <w:lang w:val="en-AU"/>
        </w:rPr>
        <w:t xml:space="preserve"> schedule along with paid work. </w:t>
      </w:r>
      <w:r w:rsidR="00BF65FD">
        <w:t>Students</w:t>
      </w:r>
      <w:r w:rsidR="00FE2041" w:rsidRPr="00966E72">
        <w:t xml:space="preserve"> who need to, or feel the need to work have less time to make use of </w:t>
      </w:r>
      <w:r w:rsidR="00FE2041">
        <w:t xml:space="preserve">mathematics </w:t>
      </w:r>
      <w:r w:rsidR="00FE2041" w:rsidRPr="00966E72">
        <w:t xml:space="preserve">support </w:t>
      </w:r>
      <w:r w:rsidR="00FE2041">
        <w:t>and may be reluctant to engage with mathema</w:t>
      </w:r>
      <w:r w:rsidR="00FE2041">
        <w:t>t</w:t>
      </w:r>
      <w:r w:rsidR="00FE2041">
        <w:t>ics support</w:t>
      </w:r>
      <w:r w:rsidR="00FE2041" w:rsidRPr="00966E72">
        <w:t>.</w:t>
      </w:r>
      <w:r w:rsidR="00BF65FD" w:rsidRPr="00BF65FD">
        <w:t xml:space="preserve"> </w:t>
      </w:r>
      <w:r w:rsidR="00BF65FD" w:rsidRPr="00067D82">
        <w:t>We have observed that</w:t>
      </w:r>
      <w:r w:rsidR="00BF65FD">
        <w:t>, in recent years,</w:t>
      </w:r>
      <w:r w:rsidR="00BF65FD" w:rsidRPr="00067D82">
        <w:t xml:space="preserve"> students are more likely to attend r</w:t>
      </w:r>
      <w:r w:rsidR="00BF65FD" w:rsidRPr="00067D82">
        <w:t>e</w:t>
      </w:r>
      <w:r w:rsidR="00BF65FD" w:rsidRPr="00067D82">
        <w:t>view classes before assessments and not weekly classes that systematically build up mat</w:t>
      </w:r>
      <w:r w:rsidR="00BF65FD" w:rsidRPr="00067D82">
        <w:t>h</w:t>
      </w:r>
      <w:r w:rsidR="00BF65FD" w:rsidRPr="00067D82">
        <w:t>ematical knowledge and capabilities, and we have been forced to accommodate this atten</w:t>
      </w:r>
      <w:r w:rsidR="00BF65FD" w:rsidRPr="00067D82">
        <w:t>d</w:t>
      </w:r>
      <w:r w:rsidR="00BF65FD" w:rsidRPr="00067D82">
        <w:t>ance pattern. However, the time poor student looking only for a quick fix, often just before an exam or an assessment task, is unlikely to learn much of value in these classes.</w:t>
      </w:r>
    </w:p>
    <w:p w14:paraId="42D4D0DD" w14:textId="77777777" w:rsidR="006E659E" w:rsidRPr="006E659E" w:rsidRDefault="006E659E" w:rsidP="006E659E">
      <w:pPr>
        <w:pStyle w:val="Header1"/>
        <w:rPr>
          <w:rFonts w:ascii="Verdana" w:hAnsi="Verdana"/>
        </w:rPr>
      </w:pPr>
    </w:p>
    <w:p w14:paraId="20A47DC5" w14:textId="06630340" w:rsidR="00E7337A" w:rsidRPr="00966E72" w:rsidRDefault="00E7337A" w:rsidP="006E659E">
      <w:pPr>
        <w:pStyle w:val="Header1"/>
        <w:rPr>
          <w:rFonts w:ascii="Verdana" w:hAnsi="Verdana"/>
        </w:rPr>
      </w:pPr>
      <w:r w:rsidRPr="00966E72">
        <w:rPr>
          <w:rFonts w:ascii="Verdana" w:hAnsi="Verdana"/>
        </w:rPr>
        <w:t xml:space="preserve">4. </w:t>
      </w:r>
      <w:r w:rsidR="00BF65FD">
        <w:rPr>
          <w:rFonts w:ascii="Verdana" w:hAnsi="Verdana"/>
        </w:rPr>
        <w:t>Conclusion</w:t>
      </w:r>
    </w:p>
    <w:p w14:paraId="779B7CD8" w14:textId="2122AE85" w:rsidR="00B439AA" w:rsidRDefault="00B439AA" w:rsidP="00966E72">
      <w:pPr>
        <w:pStyle w:val="Body"/>
      </w:pPr>
      <w:r>
        <w:t>In this paper we have endeavoured to articulate some of the principles that promote st</w:t>
      </w:r>
      <w:r>
        <w:t>u</w:t>
      </w:r>
      <w:r>
        <w:t xml:space="preserve">dent learning and the pressures </w:t>
      </w:r>
      <w:r w:rsidR="00BD78B5">
        <w:t xml:space="preserve">that can </w:t>
      </w:r>
      <w:r>
        <w:t xml:space="preserve">act against it.  </w:t>
      </w:r>
      <w:r w:rsidR="00BD78B5">
        <w:t>Some things are beyond our co</w:t>
      </w:r>
      <w:r w:rsidR="00BD78B5">
        <w:t>n</w:t>
      </w:r>
      <w:r w:rsidR="00BD78B5">
        <w:t xml:space="preserve">trol, but we </w:t>
      </w:r>
      <w:r>
        <w:t xml:space="preserve">believe that we need to resist the </w:t>
      </w:r>
      <w:proofErr w:type="spellStart"/>
      <w:r>
        <w:t>casualisation</w:t>
      </w:r>
      <w:proofErr w:type="spellEnd"/>
      <w:r>
        <w:t xml:space="preserve"> of our work and the classific</w:t>
      </w:r>
      <w:r>
        <w:t>a</w:t>
      </w:r>
      <w:r>
        <w:t xml:space="preserve">tion of our roles as non-academic as both </w:t>
      </w:r>
      <w:r w:rsidR="00844A13">
        <w:t>may</w:t>
      </w:r>
      <w:r>
        <w:t xml:space="preserve"> have a detrimental effect on the </w:t>
      </w:r>
      <w:r w:rsidR="00036441">
        <w:t xml:space="preserve">short and long term </w:t>
      </w:r>
      <w:r>
        <w:t>provision of high quality mathematics support.</w:t>
      </w:r>
    </w:p>
    <w:p w14:paraId="7F4EB6B3" w14:textId="77777777" w:rsidR="007C127E" w:rsidRDefault="00844A13" w:rsidP="00844A13">
      <w:pPr>
        <w:pStyle w:val="Body"/>
        <w:rPr>
          <w:lang w:val="en-AU"/>
        </w:rPr>
      </w:pPr>
      <w:r w:rsidRPr="00E131DF">
        <w:rPr>
          <w:lang w:val="en-AU"/>
        </w:rPr>
        <w:t xml:space="preserve">Employing support staff on a continuing basis or long-term contracts provides more stability for staffing than casual or short-term </w:t>
      </w:r>
      <w:r w:rsidRPr="003E7F91">
        <w:rPr>
          <w:lang w:val="en-AU"/>
        </w:rPr>
        <w:t xml:space="preserve">contracts </w:t>
      </w:r>
      <w:r w:rsidR="007C127E" w:rsidRPr="003E7F91">
        <w:rPr>
          <w:lang w:val="en-AU"/>
        </w:rPr>
        <w:t>and so</w:t>
      </w:r>
      <w:r w:rsidR="007C127E">
        <w:rPr>
          <w:lang w:val="en-AU"/>
        </w:rPr>
        <w:t xml:space="preserve"> </w:t>
      </w:r>
      <w:r>
        <w:rPr>
          <w:lang w:val="en-AU"/>
        </w:rPr>
        <w:t xml:space="preserve">ensures that institutional knowledge and expertise is retained. </w:t>
      </w:r>
    </w:p>
    <w:p w14:paraId="3BC04FCC" w14:textId="30723B89" w:rsidR="00844A13" w:rsidRPr="00657572" w:rsidRDefault="00844A13" w:rsidP="00844A13">
      <w:pPr>
        <w:pStyle w:val="Body"/>
        <w:rPr>
          <w:lang w:val="en-AU"/>
        </w:rPr>
      </w:pPr>
      <w:r w:rsidRPr="003E7F91">
        <w:rPr>
          <w:lang w:val="en-AU"/>
        </w:rPr>
        <w:t>Employing academic staff in mathematics support roles ensures that vital research in this area continues.</w:t>
      </w:r>
      <w:r>
        <w:rPr>
          <w:lang w:val="en-AU"/>
        </w:rPr>
        <w:t xml:space="preserve"> This research play</w:t>
      </w:r>
      <w:r w:rsidR="00036441">
        <w:rPr>
          <w:lang w:val="en-AU"/>
        </w:rPr>
        <w:t>s</w:t>
      </w:r>
      <w:r>
        <w:rPr>
          <w:lang w:val="en-AU"/>
        </w:rPr>
        <w:t xml:space="preserve"> an important role</w:t>
      </w:r>
      <w:r w:rsidR="00036441">
        <w:rPr>
          <w:lang w:val="en-AU"/>
        </w:rPr>
        <w:t xml:space="preserve"> in pushing back against uninformed management decisions that may </w:t>
      </w:r>
      <w:r w:rsidR="00FE2041">
        <w:rPr>
          <w:lang w:val="en-AU"/>
        </w:rPr>
        <w:t xml:space="preserve">seek to </w:t>
      </w:r>
      <w:r w:rsidR="00036441">
        <w:rPr>
          <w:lang w:val="en-AU"/>
        </w:rPr>
        <w:t>pressurise us into inappropriate and less effective forms of mathematics support</w:t>
      </w:r>
      <w:r w:rsidR="007C127E" w:rsidRPr="003E7F91">
        <w:rPr>
          <w:lang w:val="en-AU"/>
        </w:rPr>
        <w:t>,</w:t>
      </w:r>
      <w:r w:rsidR="00036441" w:rsidRPr="003E7F91">
        <w:rPr>
          <w:lang w:val="en-AU"/>
        </w:rPr>
        <w:t xml:space="preserve"> including</w:t>
      </w:r>
      <w:r w:rsidR="00036441">
        <w:rPr>
          <w:lang w:val="en-AU"/>
        </w:rPr>
        <w:t xml:space="preserve"> online support instead of quality face-to-face su</w:t>
      </w:r>
      <w:r w:rsidR="00036441">
        <w:rPr>
          <w:lang w:val="en-AU"/>
        </w:rPr>
        <w:t>p</w:t>
      </w:r>
      <w:r w:rsidR="00036441">
        <w:rPr>
          <w:lang w:val="en-AU"/>
        </w:rPr>
        <w:t xml:space="preserve">port. Research in the discipline was instrumental in successfully arguing for the </w:t>
      </w:r>
      <w:r w:rsidR="00EE26FE" w:rsidRPr="00EE26FE">
        <w:rPr>
          <w:lang w:val="en-AU"/>
        </w:rPr>
        <w:t>maintenance</w:t>
      </w:r>
      <w:r w:rsidR="00036441">
        <w:rPr>
          <w:lang w:val="en-AU"/>
        </w:rPr>
        <w:t xml:space="preserve"> </w:t>
      </w:r>
      <w:r w:rsidR="00036441" w:rsidRPr="00657572">
        <w:rPr>
          <w:lang w:val="en-AU"/>
        </w:rPr>
        <w:t xml:space="preserve">of </w:t>
      </w:r>
      <w:r w:rsidR="00EE26FE" w:rsidRPr="00657572">
        <w:rPr>
          <w:lang w:val="en-AU"/>
        </w:rPr>
        <w:t>a dedicated space for the MLC Drop-in</w:t>
      </w:r>
      <w:r w:rsidR="00036441" w:rsidRPr="00657572">
        <w:rPr>
          <w:lang w:val="en-AU"/>
        </w:rPr>
        <w:t xml:space="preserve"> Centre </w:t>
      </w:r>
      <w:r w:rsidR="00EE26FE" w:rsidRPr="00657572">
        <w:rPr>
          <w:lang w:val="en-AU"/>
        </w:rPr>
        <w:t>at the University of Sydney</w:t>
      </w:r>
      <w:r w:rsidR="0065562E" w:rsidRPr="00657572">
        <w:rPr>
          <w:lang w:val="en-AU"/>
        </w:rPr>
        <w:t xml:space="preserve"> in 2014</w:t>
      </w:r>
      <w:r w:rsidR="00EE26FE" w:rsidRPr="00657572">
        <w:rPr>
          <w:lang w:val="en-AU"/>
        </w:rPr>
        <w:t>.</w:t>
      </w:r>
    </w:p>
    <w:p w14:paraId="14FE269A" w14:textId="584216FD" w:rsidR="00105E88" w:rsidRDefault="00A82973" w:rsidP="00844A13">
      <w:pPr>
        <w:pStyle w:val="Body"/>
      </w:pPr>
      <w:r w:rsidRPr="00657572">
        <w:rPr>
          <w:lang w:val="en-AU"/>
        </w:rPr>
        <w:t>Many of the pressures an</w:t>
      </w:r>
      <w:r w:rsidR="005A0E81" w:rsidRPr="00657572">
        <w:rPr>
          <w:lang w:val="en-AU"/>
        </w:rPr>
        <w:t xml:space="preserve">d </w:t>
      </w:r>
      <w:r w:rsidRPr="00657572">
        <w:rPr>
          <w:lang w:val="en-AU"/>
        </w:rPr>
        <w:t xml:space="preserve">tensions felt by </w:t>
      </w:r>
      <w:r w:rsidR="009A468B" w:rsidRPr="00657572">
        <w:rPr>
          <w:lang w:val="en-AU"/>
        </w:rPr>
        <w:t xml:space="preserve">staff </w:t>
      </w:r>
      <w:r w:rsidRPr="00657572">
        <w:rPr>
          <w:lang w:val="en-AU"/>
        </w:rPr>
        <w:t xml:space="preserve">and </w:t>
      </w:r>
      <w:r w:rsidR="009A468B" w:rsidRPr="00657572">
        <w:rPr>
          <w:lang w:val="en-AU"/>
        </w:rPr>
        <w:t xml:space="preserve">students </w:t>
      </w:r>
      <w:r w:rsidRPr="00657572">
        <w:rPr>
          <w:lang w:val="en-AU"/>
        </w:rPr>
        <w:t>result in a loss of time</w:t>
      </w:r>
      <w:r w:rsidR="009A468B" w:rsidRPr="00657572">
        <w:rPr>
          <w:lang w:val="en-AU"/>
        </w:rPr>
        <w:t xml:space="preserve"> devo</w:t>
      </w:r>
      <w:r w:rsidR="009A468B" w:rsidRPr="00657572">
        <w:rPr>
          <w:lang w:val="en-AU"/>
        </w:rPr>
        <w:t>t</w:t>
      </w:r>
      <w:r w:rsidR="009A468B" w:rsidRPr="00657572">
        <w:rPr>
          <w:lang w:val="en-AU"/>
        </w:rPr>
        <w:t>ed to mathematics support</w:t>
      </w:r>
      <w:r w:rsidRPr="00657572">
        <w:rPr>
          <w:lang w:val="en-AU"/>
        </w:rPr>
        <w:t xml:space="preserve">. </w:t>
      </w:r>
      <w:r w:rsidR="00105E88" w:rsidRPr="00657572">
        <w:rPr>
          <w:lang w:val="en-AU"/>
        </w:rPr>
        <w:t xml:space="preserve">Time is needed to provide good support, whether </w:t>
      </w:r>
      <w:r w:rsidR="00A311DE" w:rsidRPr="00657572">
        <w:rPr>
          <w:lang w:val="en-AU"/>
        </w:rPr>
        <w:t xml:space="preserve">this is </w:t>
      </w:r>
      <w:r w:rsidRPr="00657572">
        <w:rPr>
          <w:lang w:val="en-AU"/>
        </w:rPr>
        <w:t>time</w:t>
      </w:r>
      <w:r w:rsidR="00105E88" w:rsidRPr="00657572">
        <w:rPr>
          <w:lang w:val="en-AU"/>
        </w:rPr>
        <w:t xml:space="preserve"> </w:t>
      </w:r>
      <w:r w:rsidR="00A311DE" w:rsidRPr="00657572">
        <w:rPr>
          <w:lang w:val="en-AU"/>
        </w:rPr>
        <w:t xml:space="preserve">spent </w:t>
      </w:r>
      <w:r w:rsidR="00105E88" w:rsidRPr="00657572">
        <w:rPr>
          <w:lang w:val="en-AU"/>
        </w:rPr>
        <w:t xml:space="preserve">with students or </w:t>
      </w:r>
      <w:r w:rsidRPr="00657572">
        <w:rPr>
          <w:lang w:val="en-AU"/>
        </w:rPr>
        <w:t xml:space="preserve">time used to </w:t>
      </w:r>
      <w:r w:rsidR="00A311DE" w:rsidRPr="00657572">
        <w:rPr>
          <w:lang w:val="en-AU"/>
        </w:rPr>
        <w:t>develop</w:t>
      </w:r>
      <w:r w:rsidR="005A0E81" w:rsidRPr="00657572">
        <w:rPr>
          <w:lang w:val="en-AU"/>
        </w:rPr>
        <w:t xml:space="preserve"> quality resources. </w:t>
      </w:r>
      <w:r w:rsidR="009933BD" w:rsidRPr="00657572">
        <w:rPr>
          <w:lang w:val="en-AU"/>
        </w:rPr>
        <w:t>Staff t</w:t>
      </w:r>
      <w:r w:rsidR="005A0E81" w:rsidRPr="00657572">
        <w:rPr>
          <w:lang w:val="en-AU"/>
        </w:rPr>
        <w:t xml:space="preserve">ime </w:t>
      </w:r>
      <w:r w:rsidR="00A311DE" w:rsidRPr="00657572">
        <w:rPr>
          <w:lang w:val="en-AU"/>
        </w:rPr>
        <w:t xml:space="preserve">for mathematics support </w:t>
      </w:r>
      <w:r w:rsidR="005A0E81" w:rsidRPr="00657572">
        <w:rPr>
          <w:lang w:val="en-AU"/>
        </w:rPr>
        <w:t xml:space="preserve">is </w:t>
      </w:r>
      <w:r w:rsidR="00A311DE" w:rsidRPr="00657572">
        <w:rPr>
          <w:lang w:val="en-AU"/>
        </w:rPr>
        <w:t>lost when arguing</w:t>
      </w:r>
      <w:r w:rsidR="005A0E81" w:rsidRPr="00657572">
        <w:rPr>
          <w:lang w:val="en-AU"/>
        </w:rPr>
        <w:t xml:space="preserve"> against inappropriate models of support</w:t>
      </w:r>
      <w:r w:rsidR="001900F2" w:rsidRPr="00657572">
        <w:rPr>
          <w:lang w:val="en-AU"/>
        </w:rPr>
        <w:t>,</w:t>
      </w:r>
      <w:r w:rsidR="005A0E81" w:rsidRPr="00657572">
        <w:rPr>
          <w:lang w:val="en-AU"/>
        </w:rPr>
        <w:t xml:space="preserve"> justifying </w:t>
      </w:r>
      <w:r w:rsidR="0098013E" w:rsidRPr="00657572">
        <w:rPr>
          <w:lang w:val="en-AU"/>
        </w:rPr>
        <w:t xml:space="preserve">the </w:t>
      </w:r>
      <w:r w:rsidR="005A0E81" w:rsidRPr="00657572">
        <w:rPr>
          <w:lang w:val="en-AU"/>
        </w:rPr>
        <w:t>need for support staff</w:t>
      </w:r>
      <w:r w:rsidR="001900F2" w:rsidRPr="00657572">
        <w:rPr>
          <w:lang w:val="en-AU"/>
        </w:rPr>
        <w:t xml:space="preserve"> and protecting their career</w:t>
      </w:r>
      <w:r w:rsidR="005A0E81" w:rsidRPr="00657572">
        <w:rPr>
          <w:lang w:val="en-AU"/>
        </w:rPr>
        <w:t>. On the other side, t</w:t>
      </w:r>
      <w:r w:rsidR="00105E88" w:rsidRPr="00657572">
        <w:rPr>
          <w:lang w:val="en-AU"/>
        </w:rPr>
        <w:t>ime is needed by students to take advantage of support</w:t>
      </w:r>
      <w:r w:rsidR="0098013E" w:rsidRPr="00657572">
        <w:rPr>
          <w:lang w:val="en-AU"/>
        </w:rPr>
        <w:t xml:space="preserve"> and to practice mathematics, especially for those who need to recover from </w:t>
      </w:r>
      <w:r w:rsidR="00A311DE" w:rsidRPr="00657572">
        <w:rPr>
          <w:lang w:val="en-AU"/>
        </w:rPr>
        <w:t xml:space="preserve">poor </w:t>
      </w:r>
      <w:r w:rsidR="0098013E" w:rsidRPr="00657572">
        <w:rPr>
          <w:lang w:val="en-AU"/>
        </w:rPr>
        <w:t xml:space="preserve">secondary school </w:t>
      </w:r>
      <w:r w:rsidR="007C127E" w:rsidRPr="00657572">
        <w:rPr>
          <w:lang w:val="en-AU"/>
        </w:rPr>
        <w:t xml:space="preserve">mathematics </w:t>
      </w:r>
      <w:r w:rsidR="0098013E" w:rsidRPr="00657572">
        <w:rPr>
          <w:lang w:val="en-AU"/>
        </w:rPr>
        <w:t xml:space="preserve">choices. However, </w:t>
      </w:r>
      <w:r w:rsidR="00553387">
        <w:rPr>
          <w:lang w:val="en-AU"/>
        </w:rPr>
        <w:t>the average number of hours students spend in</w:t>
      </w:r>
      <w:r w:rsidR="0098013E" w:rsidRPr="00657572">
        <w:rPr>
          <w:lang w:val="en-AU"/>
        </w:rPr>
        <w:t xml:space="preserve"> </w:t>
      </w:r>
      <w:r w:rsidR="00553387">
        <w:rPr>
          <w:lang w:val="en-AU"/>
        </w:rPr>
        <w:t xml:space="preserve">paid work has been increasing and </w:t>
      </w:r>
      <w:r w:rsidR="00DE7955">
        <w:rPr>
          <w:lang w:val="en-AU"/>
        </w:rPr>
        <w:t xml:space="preserve">this trend </w:t>
      </w:r>
      <w:r w:rsidR="00553387">
        <w:rPr>
          <w:lang w:val="en-AU"/>
        </w:rPr>
        <w:t xml:space="preserve">is predicted to </w:t>
      </w:r>
      <w:r w:rsidR="00DE7955">
        <w:rPr>
          <w:lang w:val="en-AU"/>
        </w:rPr>
        <w:t>conti</w:t>
      </w:r>
      <w:r w:rsidR="00DE7955">
        <w:rPr>
          <w:lang w:val="en-AU"/>
        </w:rPr>
        <w:t>n</w:t>
      </w:r>
      <w:r w:rsidR="00DE7955">
        <w:rPr>
          <w:lang w:val="en-AU"/>
        </w:rPr>
        <w:t>ue</w:t>
      </w:r>
      <w:r w:rsidR="00553387">
        <w:rPr>
          <w:lang w:val="en-AU"/>
        </w:rPr>
        <w:t xml:space="preserve"> </w:t>
      </w:r>
      <w:r w:rsidR="00DE7955" w:rsidRPr="00657572">
        <w:rPr>
          <w:lang w:val="en-AU"/>
        </w:rPr>
        <w:t>as the burden of the costs of university education shift</w:t>
      </w:r>
      <w:r w:rsidR="00DE7955">
        <w:rPr>
          <w:lang w:val="en-AU"/>
        </w:rPr>
        <w:t>s</w:t>
      </w:r>
      <w:r w:rsidR="00DE7955" w:rsidRPr="00657572">
        <w:rPr>
          <w:lang w:val="en-AU"/>
        </w:rPr>
        <w:t xml:space="preserve"> to the students </w:t>
      </w:r>
      <w:r w:rsidR="00DE7955" w:rsidRPr="00553387">
        <w:rPr>
          <w:lang w:val="en-AU"/>
        </w:rPr>
        <w:t>(</w:t>
      </w:r>
      <w:proofErr w:type="spellStart"/>
      <w:r w:rsidR="00DE7955" w:rsidRPr="00553387">
        <w:rPr>
          <w:lang w:val="en-AU"/>
        </w:rPr>
        <w:t>Baik</w:t>
      </w:r>
      <w:proofErr w:type="spellEnd"/>
      <w:r w:rsidR="00DE7955" w:rsidRPr="00553387">
        <w:rPr>
          <w:lang w:val="en-AU"/>
        </w:rPr>
        <w:t xml:space="preserve"> et al. 2015, p. 93).</w:t>
      </w:r>
      <w:r w:rsidR="009A468B" w:rsidRPr="00657572">
        <w:rPr>
          <w:lang w:val="en-AU"/>
        </w:rPr>
        <w:t xml:space="preserve"> </w:t>
      </w:r>
      <w:r w:rsidR="00DE7955">
        <w:rPr>
          <w:lang w:val="en-AU"/>
        </w:rPr>
        <w:t>This results in students having</w:t>
      </w:r>
      <w:r w:rsidR="0098013E" w:rsidRPr="00657572">
        <w:rPr>
          <w:lang w:val="en-AU"/>
        </w:rPr>
        <w:t xml:space="preserve"> less time for learning</w:t>
      </w:r>
      <w:r w:rsidR="006A22BF">
        <w:rPr>
          <w:lang w:val="en-AU"/>
        </w:rPr>
        <w:t>.</w:t>
      </w:r>
      <w:r w:rsidR="009A468B" w:rsidRPr="00657572">
        <w:rPr>
          <w:lang w:val="en-AU"/>
        </w:rPr>
        <w:t xml:space="preserve"> </w:t>
      </w:r>
    </w:p>
    <w:p w14:paraId="31FA275C" w14:textId="78831601" w:rsidR="00E27413" w:rsidRPr="00E27413" w:rsidRDefault="00BF65FD" w:rsidP="00E27413">
      <w:pPr>
        <w:pStyle w:val="Body"/>
        <w:rPr>
          <w:b/>
        </w:rPr>
      </w:pPr>
      <w:r w:rsidRPr="00BF65FD">
        <w:t>Working in a mathematics support role is hard but very rewarding.</w:t>
      </w:r>
      <w:r>
        <w:t xml:space="preserve"> </w:t>
      </w:r>
      <w:r w:rsidR="00E27413">
        <w:t>Staff who work in the area are often passionate about their task of developing student capabilities and unde</w:t>
      </w:r>
      <w:r w:rsidR="00E27413">
        <w:t>r</w:t>
      </w:r>
      <w:r w:rsidR="00E27413">
        <w:t xml:space="preserve">standings in mathematics, but as academic staff we must be mindful of the need to achieve </w:t>
      </w:r>
      <w:r w:rsidR="00E27413">
        <w:lastRenderedPageBreak/>
        <w:t xml:space="preserve">a balance between our students’ needs and the demands of our academic careers. We must also advocate for our colleagues who do not have the advantages of our academic status to ensure that they have </w:t>
      </w:r>
      <w:r w:rsidR="00E27413">
        <w:rPr>
          <w:lang w:val="en-AU"/>
        </w:rPr>
        <w:t xml:space="preserve">employment </w:t>
      </w:r>
      <w:r w:rsidR="00E27413" w:rsidRPr="00E27413">
        <w:rPr>
          <w:lang w:val="en-AU"/>
        </w:rPr>
        <w:t xml:space="preserve">certainty </w:t>
      </w:r>
      <w:r w:rsidR="00E27413">
        <w:rPr>
          <w:lang w:val="en-AU"/>
        </w:rPr>
        <w:t>and can progress in their mathematics support role</w:t>
      </w:r>
      <w:r w:rsidR="00E27413" w:rsidRPr="00E27413">
        <w:rPr>
          <w:lang w:val="en-AU"/>
        </w:rPr>
        <w:t>.</w:t>
      </w:r>
    </w:p>
    <w:p w14:paraId="59FC43F5" w14:textId="77777777" w:rsidR="00EE21E5" w:rsidRPr="00960CCB" w:rsidRDefault="00EE21E5" w:rsidP="00966E72">
      <w:pPr>
        <w:pStyle w:val="Body"/>
      </w:pPr>
    </w:p>
    <w:p w14:paraId="5EFE9747" w14:textId="77777777" w:rsidR="004066C1" w:rsidRPr="00960CCB" w:rsidRDefault="004066C1" w:rsidP="004066C1">
      <w:pPr>
        <w:pStyle w:val="HeaderAbs"/>
        <w:rPr>
          <w:rFonts w:ascii="Verdana" w:hAnsi="Verdana" w:cs="Arial"/>
          <w:szCs w:val="24"/>
          <w:lang w:val="en-GB"/>
        </w:rPr>
      </w:pPr>
      <w:r w:rsidRPr="00960CCB">
        <w:rPr>
          <w:rFonts w:ascii="Verdana" w:hAnsi="Verdana" w:cs="Arial"/>
          <w:caps w:val="0"/>
          <w:szCs w:val="24"/>
          <w:lang w:val="en-GB"/>
        </w:rPr>
        <w:t>References</w:t>
      </w:r>
      <w:bookmarkEnd w:id="1"/>
    </w:p>
    <w:p w14:paraId="67FE5568" w14:textId="7448AE0D" w:rsidR="004066C1" w:rsidRPr="00966E72" w:rsidRDefault="00966E72" w:rsidP="00966E72">
      <w:pPr>
        <w:pStyle w:val="Reference"/>
        <w:numPr>
          <w:ilvl w:val="0"/>
          <w:numId w:val="0"/>
        </w:numPr>
        <w:tabs>
          <w:tab w:val="left" w:pos="720"/>
        </w:tabs>
        <w:rPr>
          <w:rFonts w:ascii="Verdana" w:hAnsi="Verdana" w:cs="Arial"/>
          <w:sz w:val="20"/>
        </w:rPr>
      </w:pPr>
      <w:proofErr w:type="spellStart"/>
      <w:r w:rsidRPr="00966E72">
        <w:rPr>
          <w:rFonts w:ascii="Verdana" w:hAnsi="Verdana" w:cs="Arial"/>
          <w:sz w:val="20"/>
          <w:lang w:val="en-AU"/>
        </w:rPr>
        <w:t>Baik</w:t>
      </w:r>
      <w:proofErr w:type="spellEnd"/>
      <w:r w:rsidRPr="00966E72">
        <w:rPr>
          <w:rFonts w:ascii="Verdana" w:hAnsi="Verdana" w:cs="Arial"/>
          <w:sz w:val="20"/>
          <w:lang w:val="en-AU"/>
        </w:rPr>
        <w:t xml:space="preserve">, Chi, Naylor, Ryan and </w:t>
      </w:r>
      <w:proofErr w:type="spellStart"/>
      <w:r w:rsidRPr="00966E72">
        <w:rPr>
          <w:rFonts w:ascii="Verdana" w:hAnsi="Verdana" w:cs="Arial"/>
          <w:sz w:val="20"/>
          <w:lang w:val="en-AU"/>
        </w:rPr>
        <w:t>Arkoudis</w:t>
      </w:r>
      <w:proofErr w:type="spellEnd"/>
      <w:r w:rsidRPr="00966E72">
        <w:rPr>
          <w:rFonts w:ascii="Verdana" w:hAnsi="Verdana" w:cs="Arial"/>
          <w:sz w:val="20"/>
          <w:lang w:val="en-AU"/>
        </w:rPr>
        <w:t xml:space="preserve">, Sophie (2015) </w:t>
      </w:r>
      <w:r w:rsidRPr="00966E72">
        <w:rPr>
          <w:rFonts w:ascii="Verdana" w:hAnsi="Verdana" w:cs="Arial"/>
          <w:i/>
          <w:sz w:val="20"/>
          <w:lang w:val="en-AU"/>
        </w:rPr>
        <w:t>The First Year Experience in Australian Universities: Findings from Two Decades, 1994-2014</w:t>
      </w:r>
      <w:r w:rsidR="007675F3">
        <w:rPr>
          <w:rFonts w:ascii="Verdana" w:hAnsi="Verdana" w:cs="Arial"/>
          <w:sz w:val="20"/>
          <w:lang w:val="en-AU"/>
        </w:rPr>
        <w:t>,</w:t>
      </w:r>
      <w:r w:rsidRPr="00966E72">
        <w:rPr>
          <w:rFonts w:ascii="Verdana" w:hAnsi="Verdana" w:cs="Arial"/>
          <w:sz w:val="20"/>
          <w:lang w:val="en-AU"/>
        </w:rPr>
        <w:t xml:space="preserve"> Melbourne Centre for the Study of</w:t>
      </w:r>
      <w:r w:rsidR="007675F3">
        <w:rPr>
          <w:rFonts w:ascii="Verdana" w:hAnsi="Verdana" w:cs="Arial"/>
          <w:sz w:val="20"/>
          <w:lang w:val="en-AU"/>
        </w:rPr>
        <w:t xml:space="preserve"> Higher Education,</w:t>
      </w:r>
      <w:r w:rsidRPr="00966E72">
        <w:rPr>
          <w:rFonts w:ascii="Verdana" w:hAnsi="Verdana" w:cs="Arial"/>
          <w:sz w:val="20"/>
          <w:lang w:val="en-AU"/>
        </w:rPr>
        <w:t xml:space="preserve"> University of Melbourne</w:t>
      </w:r>
      <w:r>
        <w:rPr>
          <w:rFonts w:ascii="Verdana" w:hAnsi="Verdana" w:cs="Arial"/>
          <w:sz w:val="20"/>
          <w:lang w:val="en-AU"/>
        </w:rPr>
        <w:t>.</w:t>
      </w:r>
    </w:p>
    <w:p w14:paraId="4E3E8BA1" w14:textId="150CE3A0" w:rsidR="00966E72" w:rsidRDefault="00966E72" w:rsidP="00966E72">
      <w:pPr>
        <w:pStyle w:val="Reference"/>
        <w:numPr>
          <w:ilvl w:val="0"/>
          <w:numId w:val="0"/>
        </w:numPr>
        <w:tabs>
          <w:tab w:val="left" w:pos="720"/>
        </w:tabs>
        <w:rPr>
          <w:rFonts w:ascii="Verdana" w:hAnsi="Verdana"/>
          <w:sz w:val="20"/>
        </w:rPr>
      </w:pPr>
      <w:proofErr w:type="gramStart"/>
      <w:r w:rsidRPr="00C7167D">
        <w:rPr>
          <w:rFonts w:ascii="Verdana" w:hAnsi="Verdana"/>
          <w:sz w:val="20"/>
          <w:lang w:val="en-AU"/>
        </w:rPr>
        <w:t>Croft, Tony, Grove, Michael.</w:t>
      </w:r>
      <w:proofErr w:type="gramEnd"/>
      <w:r w:rsidRPr="00C7167D">
        <w:rPr>
          <w:rFonts w:ascii="Verdana" w:hAnsi="Verdana"/>
          <w:sz w:val="20"/>
          <w:lang w:val="en-AU"/>
        </w:rPr>
        <w:t xml:space="preserve"> </w:t>
      </w:r>
      <w:proofErr w:type="gramStart"/>
      <w:r w:rsidRPr="00C7167D">
        <w:rPr>
          <w:rFonts w:ascii="Verdana" w:hAnsi="Verdana"/>
          <w:sz w:val="20"/>
          <w:lang w:val="en-AU"/>
        </w:rPr>
        <w:t>and</w:t>
      </w:r>
      <w:proofErr w:type="gramEnd"/>
      <w:r w:rsidRPr="00C7167D">
        <w:rPr>
          <w:rFonts w:ascii="Verdana" w:hAnsi="Verdana"/>
          <w:sz w:val="20"/>
          <w:lang w:val="en-AU"/>
        </w:rPr>
        <w:t xml:space="preserve"> Lawson, Duncan (2016) “The oversight of mathematics, statistics and numeracy support provision at university level: A guide for Pro-Vice-Chancellors”. Accessed via </w:t>
      </w:r>
      <w:hyperlink r:id="rId8" w:history="1">
        <w:r w:rsidRPr="00C7167D">
          <w:rPr>
            <w:rStyle w:val="Hyperlink"/>
            <w:rFonts w:ascii="Verdana" w:hAnsi="Verdana"/>
            <w:sz w:val="20"/>
            <w:lang w:val="en-AU"/>
          </w:rPr>
          <w:t>http://www.sigma-network.ac.uk/wp-content/uploads/2016/10/66141-Senior-Management-Handbook-AWK-WEB.pdf</w:t>
        </w:r>
      </w:hyperlink>
      <w:r w:rsidRPr="00C7167D">
        <w:rPr>
          <w:rFonts w:ascii="Verdana" w:hAnsi="Verdana"/>
          <w:sz w:val="20"/>
        </w:rPr>
        <w:t xml:space="preserve"> (5 May 2017)</w:t>
      </w:r>
    </w:p>
    <w:p w14:paraId="7B2A63DD" w14:textId="3716DBF3" w:rsidR="00966E72" w:rsidRDefault="00966E72" w:rsidP="00966E72">
      <w:pPr>
        <w:pStyle w:val="Reference"/>
        <w:numPr>
          <w:ilvl w:val="0"/>
          <w:numId w:val="0"/>
        </w:numPr>
        <w:tabs>
          <w:tab w:val="left" w:pos="720"/>
        </w:tabs>
        <w:rPr>
          <w:rFonts w:ascii="Verdana" w:hAnsi="Verdana"/>
          <w:sz w:val="20"/>
        </w:rPr>
      </w:pPr>
      <w:r w:rsidRPr="004A37A3">
        <w:rPr>
          <w:rFonts w:ascii="Verdana" w:hAnsi="Verdana"/>
          <w:sz w:val="20"/>
        </w:rPr>
        <w:t>Goodyear, P.</w:t>
      </w:r>
      <w:r>
        <w:rPr>
          <w:rFonts w:ascii="Verdana" w:hAnsi="Verdana"/>
          <w:sz w:val="20"/>
        </w:rPr>
        <w:t xml:space="preserve"> (2007)</w:t>
      </w:r>
      <w:r w:rsidRPr="004A37A3">
        <w:rPr>
          <w:rFonts w:ascii="Verdana" w:hAnsi="Verdana"/>
          <w:sz w:val="20"/>
        </w:rPr>
        <w:t xml:space="preserve"> Technology and the articulation of vocational and academic interests: reflection</w:t>
      </w:r>
      <w:r>
        <w:rPr>
          <w:rFonts w:ascii="Verdana" w:hAnsi="Verdana"/>
          <w:sz w:val="20"/>
        </w:rPr>
        <w:t>s on time, space and e-learning.</w:t>
      </w:r>
      <w:r w:rsidRPr="004A37A3">
        <w:rPr>
          <w:rFonts w:ascii="Verdana" w:hAnsi="Verdana"/>
          <w:sz w:val="20"/>
        </w:rPr>
        <w:t xml:space="preserve"> </w:t>
      </w:r>
      <w:r w:rsidRPr="004A37A3">
        <w:rPr>
          <w:rFonts w:ascii="Verdana" w:hAnsi="Verdana"/>
          <w:i/>
          <w:sz w:val="20"/>
        </w:rPr>
        <w:t>Studies in Computer Education</w:t>
      </w:r>
      <w:r w:rsidRPr="004A37A3">
        <w:rPr>
          <w:rFonts w:ascii="Verdana" w:hAnsi="Verdana"/>
          <w:sz w:val="20"/>
        </w:rPr>
        <w:t xml:space="preserve">, </w:t>
      </w:r>
      <w:r>
        <w:rPr>
          <w:rFonts w:ascii="Verdana" w:hAnsi="Verdana"/>
          <w:sz w:val="20"/>
        </w:rPr>
        <w:t xml:space="preserve">Vol. </w:t>
      </w:r>
      <w:r w:rsidRPr="004A37A3">
        <w:rPr>
          <w:rFonts w:ascii="Verdana" w:hAnsi="Verdana"/>
          <w:sz w:val="20"/>
        </w:rPr>
        <w:t>28</w:t>
      </w:r>
      <w:r>
        <w:rPr>
          <w:rFonts w:ascii="Verdana" w:hAnsi="Verdana"/>
          <w:sz w:val="20"/>
        </w:rPr>
        <w:t xml:space="preserve"> </w:t>
      </w:r>
      <w:r w:rsidRPr="004A37A3">
        <w:rPr>
          <w:rFonts w:ascii="Verdana" w:hAnsi="Verdana"/>
          <w:sz w:val="20"/>
        </w:rPr>
        <w:t>(</w:t>
      </w:r>
      <w:r>
        <w:rPr>
          <w:rFonts w:ascii="Verdana" w:hAnsi="Verdana"/>
          <w:sz w:val="20"/>
        </w:rPr>
        <w:t>No. 2):</w:t>
      </w:r>
      <w:r w:rsidRPr="004A37A3">
        <w:rPr>
          <w:rFonts w:ascii="Verdana" w:hAnsi="Verdana"/>
          <w:sz w:val="20"/>
        </w:rPr>
        <w:t>83-98</w:t>
      </w:r>
      <w:r>
        <w:rPr>
          <w:rFonts w:ascii="Verdana" w:hAnsi="Verdana"/>
          <w:sz w:val="20"/>
        </w:rPr>
        <w:t>.</w:t>
      </w:r>
    </w:p>
    <w:p w14:paraId="271A4D5E" w14:textId="2694050C" w:rsidR="00966E72" w:rsidRDefault="00966E72" w:rsidP="00966E72">
      <w:pPr>
        <w:pStyle w:val="Reference"/>
        <w:numPr>
          <w:ilvl w:val="0"/>
          <w:numId w:val="0"/>
        </w:numPr>
        <w:tabs>
          <w:tab w:val="left" w:pos="720"/>
        </w:tabs>
        <w:rPr>
          <w:rFonts w:ascii="Verdana" w:hAnsi="Verdana"/>
          <w:sz w:val="20"/>
        </w:rPr>
      </w:pPr>
      <w:proofErr w:type="spellStart"/>
      <w:r w:rsidRPr="001851B4">
        <w:rPr>
          <w:rFonts w:ascii="Verdana" w:hAnsi="Verdana"/>
          <w:sz w:val="20"/>
        </w:rPr>
        <w:t>Halmos</w:t>
      </w:r>
      <w:proofErr w:type="spellEnd"/>
      <w:r w:rsidRPr="001851B4">
        <w:rPr>
          <w:rFonts w:ascii="Verdana" w:hAnsi="Verdana"/>
          <w:sz w:val="20"/>
        </w:rPr>
        <w:t xml:space="preserve">, P., </w:t>
      </w:r>
      <w:proofErr w:type="spellStart"/>
      <w:r w:rsidRPr="001851B4">
        <w:rPr>
          <w:rFonts w:ascii="Verdana" w:hAnsi="Verdana"/>
          <w:sz w:val="20"/>
        </w:rPr>
        <w:t>Moise</w:t>
      </w:r>
      <w:proofErr w:type="spellEnd"/>
      <w:r w:rsidRPr="001851B4">
        <w:rPr>
          <w:rFonts w:ascii="Verdana" w:hAnsi="Verdana"/>
          <w:sz w:val="20"/>
        </w:rPr>
        <w:t>, E.</w:t>
      </w:r>
      <w:r>
        <w:rPr>
          <w:rFonts w:ascii="Verdana" w:hAnsi="Verdana"/>
          <w:sz w:val="20"/>
        </w:rPr>
        <w:t xml:space="preserve"> and</w:t>
      </w:r>
      <w:r w:rsidRPr="001851B4">
        <w:rPr>
          <w:rFonts w:ascii="Verdana" w:hAnsi="Verdana"/>
          <w:sz w:val="20"/>
        </w:rPr>
        <w:t xml:space="preserve"> </w:t>
      </w:r>
      <w:proofErr w:type="spellStart"/>
      <w:r w:rsidRPr="001851B4">
        <w:rPr>
          <w:rFonts w:ascii="Verdana" w:hAnsi="Verdana"/>
          <w:sz w:val="20"/>
        </w:rPr>
        <w:t>Piranian</w:t>
      </w:r>
      <w:proofErr w:type="spellEnd"/>
      <w:r w:rsidRPr="001851B4">
        <w:rPr>
          <w:rFonts w:ascii="Verdana" w:hAnsi="Verdana"/>
          <w:sz w:val="20"/>
        </w:rPr>
        <w:t>, G.</w:t>
      </w:r>
      <w:r>
        <w:rPr>
          <w:rFonts w:ascii="Verdana" w:hAnsi="Verdana"/>
          <w:sz w:val="20"/>
        </w:rPr>
        <w:t xml:space="preserve"> (1975)</w:t>
      </w:r>
      <w:r w:rsidRPr="001851B4">
        <w:rPr>
          <w:rFonts w:ascii="Verdana" w:hAnsi="Verdana"/>
          <w:sz w:val="20"/>
        </w:rPr>
        <w:t xml:space="preserve"> T</w:t>
      </w:r>
      <w:r>
        <w:rPr>
          <w:rFonts w:ascii="Verdana" w:hAnsi="Verdana"/>
          <w:sz w:val="20"/>
        </w:rPr>
        <w:t>he problem of learning to teach.</w:t>
      </w:r>
      <w:r w:rsidRPr="001851B4">
        <w:rPr>
          <w:rFonts w:ascii="Verdana" w:hAnsi="Verdana"/>
          <w:sz w:val="20"/>
        </w:rPr>
        <w:t xml:space="preserve"> </w:t>
      </w:r>
      <w:r w:rsidRPr="001851B4">
        <w:rPr>
          <w:rFonts w:ascii="Verdana" w:hAnsi="Verdana"/>
          <w:i/>
          <w:sz w:val="20"/>
        </w:rPr>
        <w:t>The Amer</w:t>
      </w:r>
      <w:r w:rsidRPr="001851B4">
        <w:rPr>
          <w:rFonts w:ascii="Verdana" w:hAnsi="Verdana"/>
          <w:i/>
          <w:sz w:val="20"/>
        </w:rPr>
        <w:t>i</w:t>
      </w:r>
      <w:r w:rsidRPr="001851B4">
        <w:rPr>
          <w:rFonts w:ascii="Verdana" w:hAnsi="Verdana"/>
          <w:i/>
          <w:sz w:val="20"/>
        </w:rPr>
        <w:t>can Mathematical Monthly</w:t>
      </w:r>
      <w:r w:rsidRPr="001851B4">
        <w:rPr>
          <w:rFonts w:ascii="Verdana" w:hAnsi="Verdana"/>
          <w:sz w:val="20"/>
        </w:rPr>
        <w:t xml:space="preserve">, </w:t>
      </w:r>
      <w:r>
        <w:rPr>
          <w:rFonts w:ascii="Verdana" w:hAnsi="Verdana"/>
          <w:sz w:val="20"/>
        </w:rPr>
        <w:t xml:space="preserve">Vol. </w:t>
      </w:r>
      <w:r w:rsidRPr="001851B4">
        <w:rPr>
          <w:rFonts w:ascii="Verdana" w:hAnsi="Verdana"/>
          <w:sz w:val="20"/>
        </w:rPr>
        <w:t>82</w:t>
      </w:r>
      <w:r>
        <w:rPr>
          <w:rFonts w:ascii="Verdana" w:hAnsi="Verdana"/>
          <w:sz w:val="20"/>
        </w:rPr>
        <w:t xml:space="preserve"> </w:t>
      </w:r>
      <w:r w:rsidRPr="001851B4">
        <w:rPr>
          <w:rFonts w:ascii="Verdana" w:hAnsi="Verdana"/>
          <w:sz w:val="20"/>
        </w:rPr>
        <w:t>(</w:t>
      </w:r>
      <w:r>
        <w:rPr>
          <w:rFonts w:ascii="Verdana" w:hAnsi="Verdana"/>
          <w:sz w:val="20"/>
        </w:rPr>
        <w:t xml:space="preserve">No. </w:t>
      </w:r>
      <w:r w:rsidRPr="001851B4">
        <w:rPr>
          <w:rFonts w:ascii="Verdana" w:hAnsi="Verdana"/>
          <w:sz w:val="20"/>
        </w:rPr>
        <w:t>5)</w:t>
      </w:r>
      <w:r>
        <w:rPr>
          <w:rFonts w:ascii="Verdana" w:hAnsi="Verdana"/>
          <w:sz w:val="20"/>
        </w:rPr>
        <w:t>:</w:t>
      </w:r>
      <w:r w:rsidRPr="001851B4">
        <w:rPr>
          <w:rFonts w:ascii="Verdana" w:hAnsi="Verdana"/>
          <w:sz w:val="20"/>
        </w:rPr>
        <w:t>466-476</w:t>
      </w:r>
      <w:r>
        <w:rPr>
          <w:rFonts w:ascii="Verdana" w:hAnsi="Verdana"/>
          <w:sz w:val="20"/>
        </w:rPr>
        <w:t>.</w:t>
      </w:r>
    </w:p>
    <w:p w14:paraId="11DF3AB0" w14:textId="03905B45" w:rsidR="00966E72" w:rsidRDefault="00966E72" w:rsidP="00966E72">
      <w:pPr>
        <w:pStyle w:val="Reference"/>
        <w:numPr>
          <w:ilvl w:val="0"/>
          <w:numId w:val="0"/>
        </w:numPr>
        <w:tabs>
          <w:tab w:val="left" w:pos="720"/>
        </w:tabs>
        <w:rPr>
          <w:rFonts w:ascii="Verdana" w:hAnsi="Verdana" w:cs="Arial"/>
          <w:sz w:val="20"/>
        </w:rPr>
      </w:pPr>
      <w:proofErr w:type="spellStart"/>
      <w:proofErr w:type="gramStart"/>
      <w:r>
        <w:rPr>
          <w:rFonts w:ascii="Verdana" w:hAnsi="Verdana" w:cs="Arial"/>
          <w:sz w:val="20"/>
        </w:rPr>
        <w:t>MacGillivrary</w:t>
      </w:r>
      <w:proofErr w:type="spellEnd"/>
      <w:r>
        <w:rPr>
          <w:rFonts w:ascii="Verdana" w:hAnsi="Verdana" w:cs="Arial"/>
          <w:sz w:val="20"/>
        </w:rPr>
        <w:t xml:space="preserve">, H. (2009) </w:t>
      </w:r>
      <w:r w:rsidRPr="00C73E2D">
        <w:rPr>
          <w:rFonts w:ascii="Verdana" w:hAnsi="Verdana" w:cs="Arial"/>
          <w:sz w:val="20"/>
        </w:rPr>
        <w:t>Learning support and students studying mathematics and statistics.</w:t>
      </w:r>
      <w:proofErr w:type="gramEnd"/>
      <w:r w:rsidRPr="00C73E2D">
        <w:rPr>
          <w:rFonts w:ascii="Verdana" w:hAnsi="Verdana" w:cs="Arial"/>
          <w:sz w:val="20"/>
        </w:rPr>
        <w:t xml:space="preserve"> </w:t>
      </w:r>
      <w:r w:rsidRPr="00C73E2D">
        <w:rPr>
          <w:rFonts w:ascii="Verdana" w:hAnsi="Verdana" w:cs="Arial"/>
          <w:i/>
          <w:sz w:val="20"/>
        </w:rPr>
        <w:t>International Journal of Mathematical Education in Science and Technology</w:t>
      </w:r>
      <w:r w:rsidRPr="00C73E2D">
        <w:rPr>
          <w:rFonts w:ascii="Verdana" w:hAnsi="Verdana" w:cs="Arial"/>
          <w:sz w:val="20"/>
        </w:rPr>
        <w:t xml:space="preserve">, Vol. 40 (No. </w:t>
      </w:r>
      <w:r>
        <w:rPr>
          <w:rFonts w:ascii="Verdana" w:hAnsi="Verdana" w:cs="Arial"/>
          <w:sz w:val="20"/>
        </w:rPr>
        <w:t>4):</w:t>
      </w:r>
      <w:r w:rsidRPr="00C73E2D">
        <w:rPr>
          <w:rFonts w:ascii="Verdana" w:hAnsi="Verdana" w:cs="Arial"/>
          <w:sz w:val="20"/>
        </w:rPr>
        <w:t xml:space="preserve"> 455-472</w:t>
      </w:r>
      <w:r>
        <w:rPr>
          <w:rFonts w:ascii="Verdana" w:hAnsi="Verdana" w:cs="Arial"/>
          <w:sz w:val="20"/>
        </w:rPr>
        <w:t>.</w:t>
      </w:r>
    </w:p>
    <w:p w14:paraId="540A12DF" w14:textId="11646C05" w:rsidR="00966E72" w:rsidRDefault="00966E72" w:rsidP="00966E72">
      <w:pPr>
        <w:pStyle w:val="Reference"/>
        <w:numPr>
          <w:ilvl w:val="0"/>
          <w:numId w:val="0"/>
        </w:numPr>
        <w:tabs>
          <w:tab w:val="left" w:pos="720"/>
        </w:tabs>
        <w:rPr>
          <w:rFonts w:ascii="Verdana" w:hAnsi="Verdana"/>
          <w:sz w:val="20"/>
          <w:lang w:bidi="en-US"/>
        </w:rPr>
      </w:pPr>
      <w:proofErr w:type="spellStart"/>
      <w:r w:rsidRPr="001851B4">
        <w:rPr>
          <w:rFonts w:ascii="Verdana" w:hAnsi="Verdana"/>
          <w:sz w:val="20"/>
          <w:lang w:bidi="en-US"/>
        </w:rPr>
        <w:t>MacGillivray</w:t>
      </w:r>
      <w:proofErr w:type="spellEnd"/>
      <w:r w:rsidRPr="001851B4">
        <w:rPr>
          <w:rFonts w:ascii="Verdana" w:hAnsi="Verdana"/>
          <w:sz w:val="20"/>
          <w:lang w:bidi="en-US"/>
        </w:rPr>
        <w:t xml:space="preserve">, H. </w:t>
      </w:r>
      <w:r>
        <w:rPr>
          <w:rFonts w:ascii="Verdana" w:hAnsi="Verdana"/>
          <w:sz w:val="20"/>
          <w:lang w:bidi="en-US"/>
        </w:rPr>
        <w:t>and</w:t>
      </w:r>
      <w:r w:rsidRPr="001851B4">
        <w:rPr>
          <w:rFonts w:ascii="Verdana" w:hAnsi="Verdana"/>
          <w:sz w:val="20"/>
          <w:lang w:bidi="en-US"/>
        </w:rPr>
        <w:t xml:space="preserve"> Croft, T. (</w:t>
      </w:r>
      <w:r>
        <w:rPr>
          <w:rFonts w:ascii="Verdana" w:hAnsi="Verdana"/>
          <w:sz w:val="20"/>
          <w:lang w:bidi="en-US"/>
        </w:rPr>
        <w:t xml:space="preserve">2011) </w:t>
      </w:r>
      <w:r w:rsidRPr="001851B4">
        <w:rPr>
          <w:rFonts w:ascii="Verdana" w:hAnsi="Verdana"/>
          <w:sz w:val="20"/>
          <w:lang w:bidi="en-US"/>
        </w:rPr>
        <w:t>Understanding evaluation of learning support in mat</w:t>
      </w:r>
      <w:r w:rsidRPr="001851B4">
        <w:rPr>
          <w:rFonts w:ascii="Verdana" w:hAnsi="Verdana"/>
          <w:sz w:val="20"/>
          <w:lang w:bidi="en-US"/>
        </w:rPr>
        <w:t>h</w:t>
      </w:r>
      <w:r w:rsidRPr="001851B4">
        <w:rPr>
          <w:rFonts w:ascii="Verdana" w:hAnsi="Verdana"/>
          <w:sz w:val="20"/>
          <w:lang w:bidi="en-US"/>
        </w:rPr>
        <w:t xml:space="preserve">ematics and statistics. </w:t>
      </w:r>
      <w:r w:rsidRPr="001851B4">
        <w:rPr>
          <w:rFonts w:ascii="Verdana" w:hAnsi="Verdana"/>
          <w:i/>
          <w:sz w:val="20"/>
          <w:lang w:bidi="en-US"/>
        </w:rPr>
        <w:t>International Journal of Mathematical Education in Science and Tec</w:t>
      </w:r>
      <w:r w:rsidRPr="001851B4">
        <w:rPr>
          <w:rFonts w:ascii="Verdana" w:hAnsi="Verdana"/>
          <w:i/>
          <w:sz w:val="20"/>
          <w:lang w:bidi="en-US"/>
        </w:rPr>
        <w:t>h</w:t>
      </w:r>
      <w:r w:rsidRPr="001851B4">
        <w:rPr>
          <w:rFonts w:ascii="Verdana" w:hAnsi="Verdana"/>
          <w:i/>
          <w:sz w:val="20"/>
          <w:lang w:bidi="en-US"/>
        </w:rPr>
        <w:t>nology</w:t>
      </w:r>
      <w:r w:rsidRPr="001851B4">
        <w:rPr>
          <w:rFonts w:ascii="Verdana" w:hAnsi="Verdana"/>
          <w:sz w:val="20"/>
          <w:lang w:bidi="en-US"/>
        </w:rPr>
        <w:t xml:space="preserve">, </w:t>
      </w:r>
      <w:r>
        <w:rPr>
          <w:rFonts w:ascii="Verdana" w:hAnsi="Verdana"/>
          <w:sz w:val="20"/>
          <w:lang w:bidi="en-US"/>
        </w:rPr>
        <w:t xml:space="preserve">Vol. </w:t>
      </w:r>
      <w:r w:rsidRPr="001851B4">
        <w:rPr>
          <w:rFonts w:ascii="Verdana" w:hAnsi="Verdana"/>
          <w:sz w:val="20"/>
          <w:lang w:bidi="en-US"/>
        </w:rPr>
        <w:t>42</w:t>
      </w:r>
      <w:r>
        <w:rPr>
          <w:rFonts w:ascii="Verdana" w:hAnsi="Verdana"/>
          <w:sz w:val="20"/>
          <w:lang w:bidi="en-US"/>
        </w:rPr>
        <w:t xml:space="preserve"> </w:t>
      </w:r>
      <w:r w:rsidRPr="001851B4">
        <w:rPr>
          <w:rFonts w:ascii="Verdana" w:hAnsi="Verdana"/>
          <w:sz w:val="20"/>
          <w:lang w:bidi="en-US"/>
        </w:rPr>
        <w:t>(</w:t>
      </w:r>
      <w:r>
        <w:rPr>
          <w:rFonts w:ascii="Verdana" w:hAnsi="Verdana"/>
          <w:sz w:val="20"/>
          <w:lang w:bidi="en-US"/>
        </w:rPr>
        <w:t>No. 2):</w:t>
      </w:r>
      <w:r w:rsidRPr="001851B4">
        <w:rPr>
          <w:rFonts w:ascii="Verdana" w:hAnsi="Verdana"/>
          <w:sz w:val="20"/>
          <w:lang w:bidi="en-US"/>
        </w:rPr>
        <w:t>189-212</w:t>
      </w:r>
      <w:r>
        <w:rPr>
          <w:rFonts w:ascii="Verdana" w:hAnsi="Verdana"/>
          <w:sz w:val="20"/>
          <w:lang w:bidi="en-US"/>
        </w:rPr>
        <w:t>.</w:t>
      </w:r>
    </w:p>
    <w:p w14:paraId="7DCF3656" w14:textId="58559BD2" w:rsidR="00966E72" w:rsidRDefault="00966E72" w:rsidP="00966E72">
      <w:pPr>
        <w:pStyle w:val="Reference"/>
        <w:numPr>
          <w:ilvl w:val="0"/>
          <w:numId w:val="0"/>
        </w:numPr>
        <w:tabs>
          <w:tab w:val="left" w:pos="720"/>
        </w:tabs>
        <w:rPr>
          <w:rFonts w:ascii="Verdana" w:hAnsi="Verdana"/>
          <w:sz w:val="20"/>
          <w:lang w:bidi="en-US"/>
        </w:rPr>
      </w:pPr>
      <w:r>
        <w:rPr>
          <w:rFonts w:ascii="Verdana" w:hAnsi="Verdana"/>
          <w:sz w:val="20"/>
          <w:lang w:bidi="en-US"/>
        </w:rPr>
        <w:t xml:space="preserve">Perkin, G., Croft, T. and Lawson, D. (2013) The extent of mathematics learning support in UK higher education—the 2012 survey. </w:t>
      </w:r>
      <w:r w:rsidRPr="00744F26">
        <w:rPr>
          <w:rFonts w:ascii="Verdana" w:hAnsi="Verdana"/>
          <w:i/>
          <w:sz w:val="20"/>
          <w:lang w:bidi="en-US"/>
        </w:rPr>
        <w:t>Teaching Mathematics and its Applications</w:t>
      </w:r>
      <w:r>
        <w:rPr>
          <w:rFonts w:ascii="Verdana" w:hAnsi="Verdana"/>
          <w:sz w:val="20"/>
          <w:lang w:bidi="en-US"/>
        </w:rPr>
        <w:t>, Vol. 32 (No. 4):165-172.</w:t>
      </w:r>
    </w:p>
    <w:p w14:paraId="76528F6F" w14:textId="2F575280" w:rsidR="00966E72" w:rsidRDefault="00966E72" w:rsidP="00966E72">
      <w:pPr>
        <w:pStyle w:val="Reference"/>
        <w:numPr>
          <w:ilvl w:val="0"/>
          <w:numId w:val="0"/>
        </w:numPr>
        <w:tabs>
          <w:tab w:val="left" w:pos="720"/>
        </w:tabs>
        <w:rPr>
          <w:rFonts w:ascii="Verdana" w:hAnsi="Verdana" w:cs="Arial"/>
          <w:sz w:val="20"/>
          <w:lang w:val="en-US"/>
        </w:rPr>
      </w:pPr>
      <w:r w:rsidRPr="00DA52FB">
        <w:rPr>
          <w:rFonts w:ascii="Verdana" w:hAnsi="Verdana" w:cs="Arial"/>
          <w:sz w:val="20"/>
          <w:lang w:val="en-US"/>
        </w:rPr>
        <w:t xml:space="preserve">Solomon, Y., Croft, T. </w:t>
      </w:r>
      <w:r>
        <w:rPr>
          <w:rFonts w:ascii="Verdana" w:hAnsi="Verdana" w:cs="Arial"/>
          <w:sz w:val="20"/>
          <w:lang w:val="en-US"/>
        </w:rPr>
        <w:t>and</w:t>
      </w:r>
      <w:r w:rsidRPr="00DA52FB">
        <w:rPr>
          <w:rFonts w:ascii="Verdana" w:hAnsi="Verdana" w:cs="Arial"/>
          <w:sz w:val="20"/>
          <w:lang w:val="en-US"/>
        </w:rPr>
        <w:t xml:space="preserve"> Lawson, D. (2010). Safety in numbers: mathematics support </w:t>
      </w:r>
      <w:proofErr w:type="spellStart"/>
      <w:r w:rsidRPr="00DA52FB">
        <w:rPr>
          <w:rFonts w:ascii="Verdana" w:hAnsi="Verdana" w:cs="Arial"/>
          <w:sz w:val="20"/>
          <w:lang w:val="en-US"/>
        </w:rPr>
        <w:t>centres</w:t>
      </w:r>
      <w:proofErr w:type="spellEnd"/>
      <w:r w:rsidRPr="00DA52FB">
        <w:rPr>
          <w:rFonts w:ascii="Verdana" w:hAnsi="Verdana" w:cs="Arial"/>
          <w:sz w:val="20"/>
          <w:lang w:val="en-US"/>
        </w:rPr>
        <w:t xml:space="preserve"> and their deriva</w:t>
      </w:r>
      <w:r>
        <w:rPr>
          <w:rFonts w:ascii="Verdana" w:hAnsi="Verdana" w:cs="Arial"/>
          <w:sz w:val="20"/>
          <w:lang w:val="en-US"/>
        </w:rPr>
        <w:t>tives as social learning spaces.</w:t>
      </w:r>
      <w:r w:rsidRPr="00DA52FB">
        <w:rPr>
          <w:rFonts w:ascii="Verdana" w:hAnsi="Verdana" w:cs="Arial"/>
          <w:sz w:val="20"/>
          <w:lang w:val="en-US"/>
        </w:rPr>
        <w:t xml:space="preserve"> </w:t>
      </w:r>
      <w:r w:rsidRPr="00DA52FB">
        <w:rPr>
          <w:rFonts w:ascii="Verdana" w:hAnsi="Verdana" w:cs="Arial"/>
          <w:i/>
          <w:iCs/>
          <w:sz w:val="20"/>
          <w:lang w:val="en-US"/>
        </w:rPr>
        <w:t xml:space="preserve">Studies in Higher Education, </w:t>
      </w:r>
      <w:r w:rsidRPr="00DA52FB">
        <w:rPr>
          <w:rFonts w:ascii="Verdana" w:hAnsi="Verdana" w:cs="Arial"/>
          <w:iCs/>
          <w:sz w:val="20"/>
          <w:lang w:val="en-US"/>
        </w:rPr>
        <w:t>Vol.</w:t>
      </w:r>
      <w:r>
        <w:rPr>
          <w:rFonts w:ascii="Verdana" w:hAnsi="Verdana" w:cs="Arial"/>
          <w:i/>
          <w:iCs/>
          <w:sz w:val="20"/>
          <w:lang w:val="en-US"/>
        </w:rPr>
        <w:t xml:space="preserve"> </w:t>
      </w:r>
      <w:r w:rsidRPr="00DA52FB">
        <w:rPr>
          <w:rFonts w:ascii="Verdana" w:hAnsi="Verdana" w:cs="Arial"/>
          <w:sz w:val="20"/>
          <w:lang w:val="en-US"/>
        </w:rPr>
        <w:t>35</w:t>
      </w:r>
      <w:r>
        <w:rPr>
          <w:rFonts w:ascii="Verdana" w:hAnsi="Verdana" w:cs="Arial"/>
          <w:sz w:val="20"/>
          <w:lang w:val="en-US"/>
        </w:rPr>
        <w:t xml:space="preserve"> </w:t>
      </w:r>
      <w:r w:rsidRPr="00DA52FB">
        <w:rPr>
          <w:rFonts w:ascii="Verdana" w:hAnsi="Verdana" w:cs="Arial"/>
          <w:sz w:val="20"/>
          <w:lang w:val="en-US"/>
        </w:rPr>
        <w:t>(</w:t>
      </w:r>
      <w:r>
        <w:rPr>
          <w:rFonts w:ascii="Verdana" w:hAnsi="Verdana" w:cs="Arial"/>
          <w:sz w:val="20"/>
          <w:lang w:val="en-US"/>
        </w:rPr>
        <w:t>No. 4):</w:t>
      </w:r>
      <w:r w:rsidRPr="00DA52FB">
        <w:rPr>
          <w:rFonts w:ascii="Verdana" w:hAnsi="Verdana" w:cs="Arial"/>
          <w:sz w:val="20"/>
          <w:lang w:val="en-US"/>
        </w:rPr>
        <w:t>421-431</w:t>
      </w:r>
      <w:r>
        <w:rPr>
          <w:rFonts w:ascii="Verdana" w:hAnsi="Verdana" w:cs="Arial"/>
          <w:sz w:val="20"/>
          <w:lang w:val="en-US"/>
        </w:rPr>
        <w:t>.</w:t>
      </w:r>
    </w:p>
    <w:p w14:paraId="79CFAE1C" w14:textId="116C0B7C" w:rsidR="00966E72" w:rsidRDefault="00966E72" w:rsidP="00966E72">
      <w:pPr>
        <w:pStyle w:val="Reference"/>
        <w:numPr>
          <w:ilvl w:val="0"/>
          <w:numId w:val="0"/>
        </w:numPr>
        <w:tabs>
          <w:tab w:val="left" w:pos="720"/>
        </w:tabs>
        <w:rPr>
          <w:rFonts w:ascii="Verdana" w:hAnsi="Verdana" w:cs="Arial"/>
          <w:sz w:val="20"/>
          <w:lang w:val="en-US"/>
        </w:rPr>
      </w:pPr>
      <w:proofErr w:type="spellStart"/>
      <w:r>
        <w:rPr>
          <w:rFonts w:ascii="Verdana" w:hAnsi="Verdana" w:cs="Arial"/>
          <w:sz w:val="20"/>
          <w:lang w:val="en-US"/>
        </w:rPr>
        <w:t>Teelken</w:t>
      </w:r>
      <w:proofErr w:type="spellEnd"/>
      <w:r>
        <w:rPr>
          <w:rFonts w:ascii="Verdana" w:hAnsi="Verdana" w:cs="Arial"/>
          <w:sz w:val="20"/>
          <w:lang w:val="en-US"/>
        </w:rPr>
        <w:t xml:space="preserve">, C. (2012) Compliance or pragmatism: how to academics deal with managerialism in higher education? </w:t>
      </w:r>
      <w:proofErr w:type="gramStart"/>
      <w:r>
        <w:rPr>
          <w:rFonts w:ascii="Verdana" w:hAnsi="Verdana" w:cs="Arial"/>
          <w:sz w:val="20"/>
          <w:lang w:val="en-US"/>
        </w:rPr>
        <w:t>A comparative study in three countries.</w:t>
      </w:r>
      <w:proofErr w:type="gramEnd"/>
      <w:r>
        <w:rPr>
          <w:rFonts w:ascii="Verdana" w:hAnsi="Verdana" w:cs="Arial"/>
          <w:sz w:val="20"/>
          <w:lang w:val="en-US"/>
        </w:rPr>
        <w:t xml:space="preserve"> </w:t>
      </w:r>
      <w:r w:rsidRPr="00EE4CFF">
        <w:rPr>
          <w:rFonts w:ascii="Verdana" w:hAnsi="Verdana" w:cs="Arial"/>
          <w:i/>
          <w:sz w:val="20"/>
          <w:lang w:val="en-US"/>
        </w:rPr>
        <w:t>Studies in Higher Education</w:t>
      </w:r>
      <w:r>
        <w:rPr>
          <w:rFonts w:ascii="Verdana" w:hAnsi="Verdana" w:cs="Arial"/>
          <w:sz w:val="20"/>
          <w:lang w:val="en-US"/>
        </w:rPr>
        <w:t>, Vol. 37 (No.3):271-290.</w:t>
      </w:r>
    </w:p>
    <w:p w14:paraId="12BDAB94" w14:textId="1681FCBB" w:rsidR="00966E72" w:rsidRPr="00966E72" w:rsidRDefault="002616B6" w:rsidP="00966E72">
      <w:pPr>
        <w:pStyle w:val="Reference"/>
        <w:numPr>
          <w:ilvl w:val="0"/>
          <w:numId w:val="0"/>
        </w:numPr>
        <w:tabs>
          <w:tab w:val="left" w:pos="720"/>
        </w:tabs>
        <w:rPr>
          <w:rFonts w:ascii="Verdana" w:hAnsi="Verdana"/>
          <w:sz w:val="20"/>
        </w:rPr>
      </w:pPr>
      <w:proofErr w:type="spellStart"/>
      <w:r>
        <w:rPr>
          <w:rFonts w:ascii="Verdana" w:hAnsi="Verdana" w:cs="Arial"/>
          <w:sz w:val="20"/>
          <w:lang w:val="en-US"/>
        </w:rPr>
        <w:t>Uttl</w:t>
      </w:r>
      <w:proofErr w:type="spellEnd"/>
      <w:r>
        <w:rPr>
          <w:rFonts w:ascii="Verdana" w:hAnsi="Verdana" w:cs="Arial"/>
          <w:sz w:val="20"/>
          <w:lang w:val="en-US"/>
        </w:rPr>
        <w:t>, B</w:t>
      </w:r>
      <w:r w:rsidR="00966E72">
        <w:rPr>
          <w:rFonts w:ascii="Verdana" w:hAnsi="Verdana" w:cs="Arial"/>
          <w:sz w:val="20"/>
          <w:lang w:val="en-US"/>
        </w:rPr>
        <w:t>.</w:t>
      </w:r>
      <w:r>
        <w:rPr>
          <w:rFonts w:ascii="Verdana" w:hAnsi="Verdana" w:cs="Arial"/>
          <w:sz w:val="20"/>
          <w:lang w:val="en-US"/>
        </w:rPr>
        <w:t xml:space="preserve">, White, C. and Gonzalez, D. (2017) Meta-analysis of faculty’s teaching effectiveness: Student evaluation of teaching ratings and student learning are not related. </w:t>
      </w:r>
      <w:r w:rsidRPr="002616B6">
        <w:rPr>
          <w:rFonts w:ascii="Verdana" w:hAnsi="Verdana" w:cs="Arial"/>
          <w:i/>
          <w:sz w:val="20"/>
          <w:lang w:val="en-US"/>
        </w:rPr>
        <w:t>Studies in Ed</w:t>
      </w:r>
      <w:r w:rsidRPr="002616B6">
        <w:rPr>
          <w:rFonts w:ascii="Verdana" w:hAnsi="Verdana" w:cs="Arial"/>
          <w:i/>
          <w:sz w:val="20"/>
          <w:lang w:val="en-US"/>
        </w:rPr>
        <w:t>u</w:t>
      </w:r>
      <w:r w:rsidRPr="002616B6">
        <w:rPr>
          <w:rFonts w:ascii="Verdana" w:hAnsi="Verdana" w:cs="Arial"/>
          <w:i/>
          <w:sz w:val="20"/>
          <w:lang w:val="en-US"/>
        </w:rPr>
        <w:t>cational Evaluation</w:t>
      </w:r>
      <w:r>
        <w:rPr>
          <w:rFonts w:ascii="Verdana" w:hAnsi="Verdana" w:cs="Arial"/>
          <w:sz w:val="20"/>
          <w:lang w:val="en-US"/>
        </w:rPr>
        <w:t>, Vol. 54:22-42.</w:t>
      </w:r>
    </w:p>
    <w:sectPr w:rsidR="00966E72" w:rsidRPr="00966E72" w:rsidSect="004066C1">
      <w:headerReference w:type="default" r:id="rId9"/>
      <w:type w:val="continuous"/>
      <w:pgSz w:w="12240" w:h="15840"/>
      <w:pgMar w:top="1440" w:right="1440" w:bottom="1440" w:left="1440" w:header="720" w:footer="720" w:gutter="0"/>
      <w:cols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C1F23" w14:textId="77777777" w:rsidR="00EC6485" w:rsidRDefault="00EC6485" w:rsidP="00594696">
      <w:r>
        <w:separator/>
      </w:r>
    </w:p>
  </w:endnote>
  <w:endnote w:type="continuationSeparator" w:id="0">
    <w:p w14:paraId="1664FDC9" w14:textId="77777777" w:rsidR="00EC6485" w:rsidRDefault="00EC6485" w:rsidP="005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90E9E" w14:textId="77777777" w:rsidR="00EC6485" w:rsidRDefault="00EC6485" w:rsidP="00594696">
      <w:r>
        <w:separator/>
      </w:r>
    </w:p>
  </w:footnote>
  <w:footnote w:type="continuationSeparator" w:id="0">
    <w:p w14:paraId="397E4EAB" w14:textId="77777777" w:rsidR="00EC6485" w:rsidRDefault="00EC6485" w:rsidP="005946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D5334" w14:textId="77777777" w:rsidR="00EC6485" w:rsidRPr="00960CCB" w:rsidRDefault="00EC6485" w:rsidP="00847F3A">
    <w:pPr>
      <w:rPr>
        <w:rFonts w:cstheme="minorHAnsi"/>
        <w:b/>
        <w:sz w:val="30"/>
        <w:highlight w:val="yellow"/>
      </w:rPr>
    </w:pPr>
    <w:r w:rsidRPr="00960CCB">
      <w:rPr>
        <w:rFonts w:ascii="Verdana" w:hAnsi="Verdana"/>
        <w:sz w:val="16"/>
        <w:szCs w:val="16"/>
        <w:lang w:val="en-GB"/>
      </w:rPr>
      <w:t>IMA and CETL-MSOR 2017:</w:t>
    </w:r>
    <w:r w:rsidRPr="00960CCB">
      <w:rPr>
        <w:rFonts w:cstheme="minorHAnsi"/>
        <w:b/>
        <w:sz w:val="30"/>
      </w:rPr>
      <w:t xml:space="preserve"> </w:t>
    </w:r>
    <w:r w:rsidRPr="00960CCB">
      <w:rPr>
        <w:rFonts w:ascii="Verdana" w:hAnsi="Verdana" w:cstheme="minorHAnsi"/>
        <w:sz w:val="18"/>
        <w:szCs w:val="18"/>
      </w:rPr>
      <w:t>Mathematics Education beyond 16: Pathways and Transitions</w:t>
    </w:r>
  </w:p>
  <w:p w14:paraId="38EDE1E9" w14:textId="77777777" w:rsidR="00EC6485" w:rsidRPr="0052672E" w:rsidRDefault="00EC6485" w:rsidP="00847F3A">
    <w:pPr>
      <w:pStyle w:val="Header"/>
      <w:rPr>
        <w:rFonts w:ascii="Verdana" w:hAnsi="Verdana"/>
        <w:sz w:val="16"/>
        <w:szCs w:val="16"/>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SortMethod w:val="0000"/>
  <w:defaultTabStop w:val="720"/>
  <w:autoHyphenation/>
  <w:consecutiveHyphenLimit w:val="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973F0"/>
    <w:rsid w:val="00010F5D"/>
    <w:rsid w:val="0002574A"/>
    <w:rsid w:val="000307D7"/>
    <w:rsid w:val="00036441"/>
    <w:rsid w:val="00067D82"/>
    <w:rsid w:val="00077B76"/>
    <w:rsid w:val="000916B5"/>
    <w:rsid w:val="000F5EE0"/>
    <w:rsid w:val="00103044"/>
    <w:rsid w:val="00105E88"/>
    <w:rsid w:val="001900F2"/>
    <w:rsid w:val="001945D8"/>
    <w:rsid w:val="001B1C35"/>
    <w:rsid w:val="001B5033"/>
    <w:rsid w:val="002616B6"/>
    <w:rsid w:val="00275984"/>
    <w:rsid w:val="002D7262"/>
    <w:rsid w:val="002F0C9B"/>
    <w:rsid w:val="002F3EF8"/>
    <w:rsid w:val="00302A29"/>
    <w:rsid w:val="003110C3"/>
    <w:rsid w:val="00397FE2"/>
    <w:rsid w:val="003D2ABC"/>
    <w:rsid w:val="003E1124"/>
    <w:rsid w:val="003E7F91"/>
    <w:rsid w:val="00402158"/>
    <w:rsid w:val="004066C1"/>
    <w:rsid w:val="004614A4"/>
    <w:rsid w:val="00477DC7"/>
    <w:rsid w:val="0048097A"/>
    <w:rsid w:val="004C668D"/>
    <w:rsid w:val="00521525"/>
    <w:rsid w:val="0052672E"/>
    <w:rsid w:val="005429CB"/>
    <w:rsid w:val="00553387"/>
    <w:rsid w:val="005722D8"/>
    <w:rsid w:val="00590F0E"/>
    <w:rsid w:val="00594696"/>
    <w:rsid w:val="005A0E81"/>
    <w:rsid w:val="005B0036"/>
    <w:rsid w:val="005B1E6C"/>
    <w:rsid w:val="005F5212"/>
    <w:rsid w:val="006044F1"/>
    <w:rsid w:val="00607553"/>
    <w:rsid w:val="0061290A"/>
    <w:rsid w:val="0062749B"/>
    <w:rsid w:val="00647DFB"/>
    <w:rsid w:val="00653BA6"/>
    <w:rsid w:val="0065562E"/>
    <w:rsid w:val="00657572"/>
    <w:rsid w:val="006A22BF"/>
    <w:rsid w:val="006A684A"/>
    <w:rsid w:val="006A6CD5"/>
    <w:rsid w:val="006E0F9C"/>
    <w:rsid w:val="006E659E"/>
    <w:rsid w:val="006F1811"/>
    <w:rsid w:val="00724C5A"/>
    <w:rsid w:val="007675F3"/>
    <w:rsid w:val="007706FD"/>
    <w:rsid w:val="007B51EF"/>
    <w:rsid w:val="007C127E"/>
    <w:rsid w:val="007F41ED"/>
    <w:rsid w:val="00844A13"/>
    <w:rsid w:val="008472BC"/>
    <w:rsid w:val="00847F3A"/>
    <w:rsid w:val="00853375"/>
    <w:rsid w:val="00874E7C"/>
    <w:rsid w:val="008F1D8A"/>
    <w:rsid w:val="008F441F"/>
    <w:rsid w:val="008F7B8F"/>
    <w:rsid w:val="00912855"/>
    <w:rsid w:val="00920752"/>
    <w:rsid w:val="00960CCB"/>
    <w:rsid w:val="00966E72"/>
    <w:rsid w:val="00967584"/>
    <w:rsid w:val="00973AB3"/>
    <w:rsid w:val="0098013E"/>
    <w:rsid w:val="009933BD"/>
    <w:rsid w:val="009A10DB"/>
    <w:rsid w:val="009A468B"/>
    <w:rsid w:val="009C34C6"/>
    <w:rsid w:val="009D420D"/>
    <w:rsid w:val="00A311DE"/>
    <w:rsid w:val="00A62D7C"/>
    <w:rsid w:val="00A710F6"/>
    <w:rsid w:val="00A82973"/>
    <w:rsid w:val="00A90864"/>
    <w:rsid w:val="00AD6858"/>
    <w:rsid w:val="00B02647"/>
    <w:rsid w:val="00B05A6A"/>
    <w:rsid w:val="00B439AA"/>
    <w:rsid w:val="00B56FC8"/>
    <w:rsid w:val="00B6304D"/>
    <w:rsid w:val="00B83A4B"/>
    <w:rsid w:val="00BD78B5"/>
    <w:rsid w:val="00BF65FD"/>
    <w:rsid w:val="00C143C9"/>
    <w:rsid w:val="00C153E3"/>
    <w:rsid w:val="00C177A7"/>
    <w:rsid w:val="00C411B1"/>
    <w:rsid w:val="00C56BCE"/>
    <w:rsid w:val="00C83DF3"/>
    <w:rsid w:val="00CA0095"/>
    <w:rsid w:val="00CB214F"/>
    <w:rsid w:val="00D01563"/>
    <w:rsid w:val="00D261DD"/>
    <w:rsid w:val="00D520DA"/>
    <w:rsid w:val="00D64A1B"/>
    <w:rsid w:val="00DD2583"/>
    <w:rsid w:val="00DE7955"/>
    <w:rsid w:val="00DF3954"/>
    <w:rsid w:val="00E131DF"/>
    <w:rsid w:val="00E27413"/>
    <w:rsid w:val="00E7337A"/>
    <w:rsid w:val="00E75AE5"/>
    <w:rsid w:val="00EC6485"/>
    <w:rsid w:val="00EE21E5"/>
    <w:rsid w:val="00EE26FE"/>
    <w:rsid w:val="00EE5E6E"/>
    <w:rsid w:val="00F003EA"/>
    <w:rsid w:val="00F26752"/>
    <w:rsid w:val="00F548CF"/>
    <w:rsid w:val="00F56837"/>
    <w:rsid w:val="00F65A5D"/>
    <w:rsid w:val="00F71CCD"/>
    <w:rsid w:val="00F973F0"/>
    <w:rsid w:val="00FC47D2"/>
    <w:rsid w:val="00FE2041"/>
    <w:rsid w:val="00FF0B9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48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03044"/>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D2583"/>
    <w:pPr>
      <w:spacing w:after="120" w:line="240" w:lineRule="exact"/>
      <w:jc w:val="both"/>
    </w:pPr>
    <w:rPr>
      <w:rFonts w:ascii="Verdana" w:hAnsi="Verdana"/>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8835">
      <w:bodyDiv w:val="1"/>
      <w:marLeft w:val="0"/>
      <w:marRight w:val="0"/>
      <w:marTop w:val="0"/>
      <w:marBottom w:val="0"/>
      <w:divBdr>
        <w:top w:val="none" w:sz="0" w:space="0" w:color="auto"/>
        <w:left w:val="none" w:sz="0" w:space="0" w:color="auto"/>
        <w:bottom w:val="none" w:sz="0" w:space="0" w:color="auto"/>
        <w:right w:val="none" w:sz="0" w:space="0" w:color="auto"/>
      </w:divBdr>
    </w:div>
    <w:div w:id="385690898">
      <w:bodyDiv w:val="1"/>
      <w:marLeft w:val="0"/>
      <w:marRight w:val="0"/>
      <w:marTop w:val="0"/>
      <w:marBottom w:val="0"/>
      <w:divBdr>
        <w:top w:val="none" w:sz="0" w:space="0" w:color="auto"/>
        <w:left w:val="none" w:sz="0" w:space="0" w:color="auto"/>
        <w:bottom w:val="none" w:sz="0" w:space="0" w:color="auto"/>
        <w:right w:val="none" w:sz="0" w:space="0" w:color="auto"/>
      </w:divBdr>
    </w:div>
    <w:div w:id="1153059138">
      <w:bodyDiv w:val="1"/>
      <w:marLeft w:val="0"/>
      <w:marRight w:val="0"/>
      <w:marTop w:val="0"/>
      <w:marBottom w:val="0"/>
      <w:divBdr>
        <w:top w:val="none" w:sz="0" w:space="0" w:color="auto"/>
        <w:left w:val="none" w:sz="0" w:space="0" w:color="auto"/>
        <w:bottom w:val="none" w:sz="0" w:space="0" w:color="auto"/>
        <w:right w:val="none" w:sz="0" w:space="0" w:color="auto"/>
      </w:divBdr>
    </w:div>
    <w:div w:id="1836022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gma-network.ac.uk/wp-content/uploads/2016/10/66141-Senior-Management-Handbook-AWK-WEB.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4219</Words>
  <Characters>24051</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Title for USENIX Conference Paper: Sample First Page</vt:lpstr>
    </vt:vector>
  </TitlesOfParts>
  <Company>usenix</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USENIX Conference Paper: Sample First Page</dc:title>
  <dc:creator>Eileen Cohen</dc:creator>
  <cp:lastModifiedBy>.</cp:lastModifiedBy>
  <cp:revision>3</cp:revision>
  <cp:lastPrinted>2017-05-29T00:29:00Z</cp:lastPrinted>
  <dcterms:created xsi:type="dcterms:W3CDTF">2017-05-28T23:27:00Z</dcterms:created>
  <dcterms:modified xsi:type="dcterms:W3CDTF">2017-05-29T00:42:00Z</dcterms:modified>
</cp:coreProperties>
</file>