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AA" w:rsidRPr="00A3776F" w:rsidRDefault="0025154A" w:rsidP="00D909A1">
      <w:pPr>
        <w:pStyle w:val="Heading1"/>
        <w:jc w:val="center"/>
        <w:rPr>
          <w:rFonts w:ascii="Verdana" w:hAnsi="Verdana"/>
          <w:color w:val="auto"/>
        </w:rPr>
      </w:pPr>
      <w:bookmarkStart w:id="0" w:name="_GoBack"/>
      <w:bookmarkEnd w:id="0"/>
      <w:r w:rsidRPr="00A3776F">
        <w:rPr>
          <w:rFonts w:ascii="Verdana" w:hAnsi="Verdana"/>
          <w:color w:val="auto"/>
        </w:rPr>
        <w:t xml:space="preserve">What impact could A-level reform have on new </w:t>
      </w:r>
      <w:r w:rsidR="001D1564" w:rsidRPr="00A3776F">
        <w:rPr>
          <w:rFonts w:ascii="Verdana" w:hAnsi="Verdana"/>
          <w:color w:val="auto"/>
        </w:rPr>
        <w:t xml:space="preserve">STEMM and social science </w:t>
      </w:r>
      <w:r w:rsidRPr="00A3776F">
        <w:rPr>
          <w:rFonts w:ascii="Verdana" w:hAnsi="Verdana"/>
          <w:color w:val="auto"/>
        </w:rPr>
        <w:t>undergraduate</w:t>
      </w:r>
      <w:r w:rsidR="001D1564" w:rsidRPr="00A3776F">
        <w:rPr>
          <w:rFonts w:ascii="Verdana" w:hAnsi="Verdana"/>
          <w:color w:val="auto"/>
        </w:rPr>
        <w:t xml:space="preserve">s </w:t>
      </w:r>
      <w:r w:rsidRPr="00A3776F">
        <w:rPr>
          <w:rFonts w:ascii="Verdana" w:hAnsi="Verdana"/>
          <w:color w:val="auto"/>
        </w:rPr>
        <w:t>and university departments?</w:t>
      </w:r>
    </w:p>
    <w:p w:rsidR="0025154A" w:rsidRPr="00A3776F" w:rsidRDefault="0025154A" w:rsidP="00D909A1">
      <w:pPr>
        <w:jc w:val="center"/>
        <w:rPr>
          <w:rFonts w:ascii="Verdana" w:hAnsi="Verdana"/>
          <w:i/>
          <w:sz w:val="24"/>
          <w:szCs w:val="24"/>
        </w:rPr>
      </w:pPr>
      <w:r w:rsidRPr="00A3776F">
        <w:rPr>
          <w:rFonts w:ascii="Verdana" w:hAnsi="Verdana"/>
          <w:sz w:val="24"/>
          <w:szCs w:val="24"/>
        </w:rPr>
        <w:t>Ellie Darlington</w:t>
      </w:r>
      <w:r w:rsidRPr="00A3776F">
        <w:rPr>
          <w:rFonts w:ascii="Verdana" w:hAnsi="Verdana"/>
          <w:i/>
          <w:sz w:val="24"/>
          <w:szCs w:val="24"/>
        </w:rPr>
        <w:t>, Cambridge Assessment</w:t>
      </w:r>
    </w:p>
    <w:p w:rsidR="00D909A1" w:rsidRPr="00A3776F" w:rsidRDefault="00D909A1" w:rsidP="0025154A">
      <w:pPr>
        <w:pStyle w:val="Heading1"/>
        <w:rPr>
          <w:rFonts w:ascii="Verdana" w:hAnsi="Verdana"/>
          <w:color w:val="auto"/>
          <w:sz w:val="24"/>
          <w:szCs w:val="24"/>
        </w:rPr>
      </w:pPr>
      <w:r w:rsidRPr="00A3776F">
        <w:rPr>
          <w:rFonts w:ascii="Verdana" w:hAnsi="Verdana"/>
          <w:color w:val="auto"/>
          <w:sz w:val="24"/>
          <w:szCs w:val="24"/>
        </w:rPr>
        <w:t>Abstract</w:t>
      </w:r>
    </w:p>
    <w:p w:rsidR="001D1564" w:rsidRPr="00A3776F" w:rsidRDefault="000513C0" w:rsidP="001D1564">
      <w:r w:rsidRPr="00A3776F">
        <w:t>Reforms to A-level Maths and Further Maths in England and Wales after September 2017 will see changes to both their structure and their content. Over 4,000 current Science, Technology, Engineering, Mathematics, Medicine (STEMM) and Social Science undergraduates with these qualifications reported that the A-levels were useful in preparing them for the mathematical demands of their degree, with the pre-2017 opportunity to specialise in certain areas of applied maths a useful feature of the qualifications. 430 maths undergraduates reported that some admissions tests and extension papers taken by some prospective maths undergraduates proved useful in challenging them, and potentially preparing them for the demands of university maths. Due to the planned reforms, there is the potential for such tests and papers to be used on a wider scale to help more universities select the best candidates, as they will likely have less information available to them to make selection decisions. Furthermore, it is anticipated that fewer students will take Further Maths, which could have an impact on the mathematical preparedness of students of certain degrees.</w:t>
      </w:r>
    </w:p>
    <w:p w:rsidR="0025154A" w:rsidRPr="00A3776F" w:rsidRDefault="0025154A" w:rsidP="0025154A">
      <w:pPr>
        <w:pStyle w:val="Heading1"/>
        <w:rPr>
          <w:rFonts w:ascii="Verdana" w:hAnsi="Verdana"/>
          <w:color w:val="auto"/>
          <w:sz w:val="24"/>
          <w:szCs w:val="24"/>
        </w:rPr>
      </w:pPr>
      <w:r w:rsidRPr="00A3776F">
        <w:rPr>
          <w:rFonts w:ascii="Verdana" w:hAnsi="Verdana"/>
          <w:color w:val="auto"/>
          <w:sz w:val="24"/>
          <w:szCs w:val="24"/>
        </w:rPr>
        <w:t>1. Introduction</w:t>
      </w:r>
    </w:p>
    <w:p w:rsidR="0025154A" w:rsidRPr="00A3776F" w:rsidRDefault="0025154A" w:rsidP="0025154A">
      <w:pPr>
        <w:rPr>
          <w:rFonts w:ascii="Verdana" w:hAnsi="Verdana"/>
          <w:sz w:val="20"/>
          <w:szCs w:val="20"/>
        </w:rPr>
      </w:pPr>
      <w:r w:rsidRPr="00A3776F">
        <w:rPr>
          <w:rFonts w:ascii="Verdana" w:hAnsi="Verdana"/>
          <w:sz w:val="20"/>
          <w:szCs w:val="20"/>
        </w:rPr>
        <w:t xml:space="preserve">A-level </w:t>
      </w:r>
      <w:r w:rsidR="002931E5" w:rsidRPr="00A3776F">
        <w:rPr>
          <w:rFonts w:ascii="Verdana" w:hAnsi="Verdana"/>
          <w:sz w:val="20"/>
          <w:szCs w:val="20"/>
        </w:rPr>
        <w:t>Maths</w:t>
      </w:r>
      <w:r w:rsidRPr="00A3776F">
        <w:rPr>
          <w:rFonts w:ascii="Verdana" w:hAnsi="Verdana"/>
          <w:sz w:val="20"/>
          <w:szCs w:val="20"/>
        </w:rPr>
        <w:t xml:space="preserve"> and A-level Further </w:t>
      </w:r>
      <w:r w:rsidR="002931E5" w:rsidRPr="00A3776F">
        <w:rPr>
          <w:rFonts w:ascii="Verdana" w:hAnsi="Verdana"/>
          <w:sz w:val="20"/>
          <w:szCs w:val="20"/>
        </w:rPr>
        <w:t>Maths</w:t>
      </w:r>
      <w:r w:rsidRPr="00A3776F">
        <w:rPr>
          <w:rFonts w:ascii="Verdana" w:hAnsi="Verdana"/>
          <w:sz w:val="20"/>
          <w:szCs w:val="20"/>
        </w:rPr>
        <w:t xml:space="preserve"> </w:t>
      </w:r>
      <w:r w:rsidR="00EB4338" w:rsidRPr="00A3776F">
        <w:rPr>
          <w:rFonts w:ascii="Verdana" w:hAnsi="Verdana"/>
          <w:sz w:val="20"/>
          <w:szCs w:val="20"/>
        </w:rPr>
        <w:t xml:space="preserve">in England and Wales </w:t>
      </w:r>
      <w:r w:rsidRPr="00A3776F">
        <w:rPr>
          <w:rFonts w:ascii="Verdana" w:hAnsi="Verdana"/>
          <w:sz w:val="20"/>
          <w:szCs w:val="20"/>
        </w:rPr>
        <w:t>are being redeveloped for first teaching in 2017. The reforms will entail significant changes to both the structure and content of these qualifications.</w:t>
      </w:r>
    </w:p>
    <w:p w:rsidR="00873163" w:rsidRPr="00A3776F" w:rsidRDefault="00121DF8" w:rsidP="0025154A">
      <w:pPr>
        <w:rPr>
          <w:rFonts w:ascii="Verdana" w:hAnsi="Verdana"/>
          <w:sz w:val="20"/>
          <w:szCs w:val="20"/>
        </w:rPr>
      </w:pPr>
      <w:r w:rsidRPr="00A3776F">
        <w:rPr>
          <w:rFonts w:ascii="Verdana" w:hAnsi="Verdana"/>
          <w:sz w:val="20"/>
          <w:szCs w:val="20"/>
        </w:rPr>
        <w:t xml:space="preserve">The primary purpose of A-levels is to prepare students for university study; however, </w:t>
      </w:r>
      <w:r w:rsidR="00EB4338" w:rsidRPr="00A3776F">
        <w:rPr>
          <w:rFonts w:ascii="Verdana" w:hAnsi="Verdana"/>
          <w:sz w:val="20"/>
          <w:szCs w:val="20"/>
        </w:rPr>
        <w:t xml:space="preserve">not all </w:t>
      </w:r>
      <w:r w:rsidRPr="00A3776F">
        <w:rPr>
          <w:rFonts w:ascii="Verdana" w:hAnsi="Verdana"/>
          <w:sz w:val="20"/>
          <w:szCs w:val="20"/>
        </w:rPr>
        <w:t xml:space="preserve">students </w:t>
      </w:r>
      <w:r w:rsidR="00EB4338" w:rsidRPr="00A3776F">
        <w:rPr>
          <w:rFonts w:ascii="Verdana" w:hAnsi="Verdana"/>
          <w:sz w:val="20"/>
          <w:szCs w:val="20"/>
        </w:rPr>
        <w:t xml:space="preserve">who </w:t>
      </w:r>
      <w:r w:rsidRPr="00A3776F">
        <w:rPr>
          <w:rFonts w:ascii="Verdana" w:hAnsi="Verdana"/>
          <w:sz w:val="20"/>
          <w:szCs w:val="20"/>
        </w:rPr>
        <w:t xml:space="preserve">take A-levels go onto university and instead go into employment. </w:t>
      </w:r>
      <w:r w:rsidR="00873163" w:rsidRPr="00A3776F">
        <w:rPr>
          <w:rFonts w:ascii="Verdana" w:hAnsi="Verdana"/>
          <w:sz w:val="20"/>
          <w:szCs w:val="20"/>
        </w:rPr>
        <w:t xml:space="preserve">Universities use students’ AS-level results in conjunction with other information (e.g. predicted A-level grades, admissions test result, references) </w:t>
      </w:r>
      <w:r w:rsidR="00EB4338" w:rsidRPr="00A3776F">
        <w:rPr>
          <w:rFonts w:ascii="Verdana" w:hAnsi="Verdana"/>
          <w:sz w:val="20"/>
          <w:szCs w:val="20"/>
        </w:rPr>
        <w:t xml:space="preserve">when making decisions regarding </w:t>
      </w:r>
      <w:proofErr w:type="gramStart"/>
      <w:r w:rsidR="00EB4338" w:rsidRPr="00A3776F">
        <w:rPr>
          <w:rFonts w:ascii="Verdana" w:hAnsi="Verdana"/>
          <w:sz w:val="20"/>
          <w:szCs w:val="20"/>
        </w:rPr>
        <w:t>offering</w:t>
      </w:r>
      <w:r w:rsidR="00873163" w:rsidRPr="00A3776F">
        <w:rPr>
          <w:rFonts w:ascii="Verdana" w:hAnsi="Verdana"/>
          <w:sz w:val="20"/>
          <w:szCs w:val="20"/>
        </w:rPr>
        <w:t xml:space="preserve">  conditional</w:t>
      </w:r>
      <w:proofErr w:type="gramEnd"/>
      <w:r w:rsidR="00873163" w:rsidRPr="00A3776F">
        <w:rPr>
          <w:rFonts w:ascii="Verdana" w:hAnsi="Verdana"/>
          <w:sz w:val="20"/>
          <w:szCs w:val="20"/>
        </w:rPr>
        <w:t xml:space="preserve"> place</w:t>
      </w:r>
      <w:r w:rsidR="00EB4338" w:rsidRPr="00A3776F">
        <w:rPr>
          <w:rFonts w:ascii="Verdana" w:hAnsi="Verdana"/>
          <w:sz w:val="20"/>
          <w:szCs w:val="20"/>
        </w:rPr>
        <w:t>s</w:t>
      </w:r>
      <w:r w:rsidR="00873163" w:rsidRPr="00A3776F">
        <w:rPr>
          <w:rFonts w:ascii="Verdana" w:hAnsi="Verdana"/>
          <w:sz w:val="20"/>
          <w:szCs w:val="20"/>
        </w:rPr>
        <w:t xml:space="preserve">. </w:t>
      </w:r>
    </w:p>
    <w:p w:rsidR="0025154A" w:rsidRPr="00A3776F" w:rsidRDefault="0025154A" w:rsidP="0025154A">
      <w:pPr>
        <w:rPr>
          <w:rFonts w:ascii="Verdana" w:hAnsi="Verdana"/>
          <w:sz w:val="20"/>
          <w:szCs w:val="20"/>
        </w:rPr>
      </w:pPr>
      <w:r w:rsidRPr="00A3776F">
        <w:rPr>
          <w:rFonts w:ascii="Verdana" w:hAnsi="Verdana"/>
          <w:sz w:val="20"/>
          <w:szCs w:val="20"/>
        </w:rPr>
        <w:t xml:space="preserve">A-level </w:t>
      </w:r>
      <w:r w:rsidR="002931E5" w:rsidRPr="00A3776F">
        <w:rPr>
          <w:rFonts w:ascii="Verdana" w:hAnsi="Verdana"/>
          <w:sz w:val="20"/>
          <w:szCs w:val="20"/>
        </w:rPr>
        <w:t>Maths</w:t>
      </w:r>
      <w:r w:rsidRPr="00A3776F">
        <w:rPr>
          <w:rFonts w:ascii="Verdana" w:hAnsi="Verdana"/>
          <w:sz w:val="20"/>
          <w:szCs w:val="20"/>
        </w:rPr>
        <w:t xml:space="preserve"> and Further </w:t>
      </w:r>
      <w:r w:rsidR="002931E5" w:rsidRPr="00A3776F">
        <w:rPr>
          <w:rFonts w:ascii="Verdana" w:hAnsi="Verdana"/>
          <w:sz w:val="20"/>
          <w:szCs w:val="20"/>
        </w:rPr>
        <w:t>Maths</w:t>
      </w:r>
      <w:r w:rsidRPr="00A3776F">
        <w:rPr>
          <w:rFonts w:ascii="Verdana" w:hAnsi="Verdana"/>
          <w:sz w:val="20"/>
          <w:szCs w:val="20"/>
        </w:rPr>
        <w:t xml:space="preserve"> prepare students for a wide-range of university subjects, not </w:t>
      </w:r>
      <w:r w:rsidR="00EB4338" w:rsidRPr="00A3776F">
        <w:rPr>
          <w:rFonts w:ascii="Verdana" w:hAnsi="Verdana"/>
          <w:sz w:val="20"/>
          <w:szCs w:val="20"/>
        </w:rPr>
        <w:t>just</w:t>
      </w:r>
      <w:r w:rsidRPr="00A3776F">
        <w:rPr>
          <w:rFonts w:ascii="Verdana" w:hAnsi="Verdana"/>
          <w:sz w:val="20"/>
          <w:szCs w:val="20"/>
        </w:rPr>
        <w:t xml:space="preserve"> </w:t>
      </w:r>
      <w:r w:rsidR="001D1564" w:rsidRPr="00A3776F">
        <w:rPr>
          <w:rFonts w:ascii="Verdana" w:hAnsi="Verdana"/>
          <w:sz w:val="20"/>
          <w:szCs w:val="20"/>
        </w:rPr>
        <w:t>M</w:t>
      </w:r>
      <w:r w:rsidR="002931E5" w:rsidRPr="00A3776F">
        <w:rPr>
          <w:rFonts w:ascii="Verdana" w:hAnsi="Verdana"/>
          <w:sz w:val="20"/>
          <w:szCs w:val="20"/>
        </w:rPr>
        <w:t>aths</w:t>
      </w:r>
      <w:r w:rsidRPr="00A3776F">
        <w:rPr>
          <w:rFonts w:ascii="Verdana" w:hAnsi="Verdana"/>
          <w:sz w:val="20"/>
          <w:szCs w:val="20"/>
        </w:rPr>
        <w:t xml:space="preserve">. </w:t>
      </w:r>
      <w:r w:rsidR="00EB4338" w:rsidRPr="00A3776F">
        <w:rPr>
          <w:rFonts w:ascii="Verdana" w:hAnsi="Verdana"/>
          <w:sz w:val="20"/>
          <w:szCs w:val="20"/>
        </w:rPr>
        <w:t>Hence, t</w:t>
      </w:r>
      <w:r w:rsidRPr="00A3776F">
        <w:rPr>
          <w:rFonts w:ascii="Verdana" w:hAnsi="Verdana"/>
          <w:sz w:val="20"/>
          <w:szCs w:val="20"/>
        </w:rPr>
        <w:t xml:space="preserve">he redevelopment of these qualifications thus </w:t>
      </w:r>
      <w:r w:rsidR="00EB4338" w:rsidRPr="00A3776F">
        <w:rPr>
          <w:rFonts w:ascii="Verdana" w:hAnsi="Verdana"/>
          <w:sz w:val="20"/>
          <w:szCs w:val="20"/>
        </w:rPr>
        <w:t xml:space="preserve">also </w:t>
      </w:r>
      <w:r w:rsidRPr="00A3776F">
        <w:rPr>
          <w:rFonts w:ascii="Verdana" w:hAnsi="Verdana"/>
          <w:sz w:val="20"/>
          <w:szCs w:val="20"/>
        </w:rPr>
        <w:t xml:space="preserve">has implications for the readiness of future undergraduates in </w:t>
      </w:r>
      <w:r w:rsidR="00EB4338" w:rsidRPr="00A3776F">
        <w:rPr>
          <w:rFonts w:ascii="Verdana" w:hAnsi="Verdana"/>
          <w:sz w:val="20"/>
          <w:szCs w:val="20"/>
        </w:rPr>
        <w:t>the sciences and social science</w:t>
      </w:r>
      <w:r w:rsidRPr="00A3776F">
        <w:rPr>
          <w:rFonts w:ascii="Verdana" w:hAnsi="Verdana"/>
          <w:sz w:val="20"/>
          <w:szCs w:val="20"/>
        </w:rPr>
        <w:t>.</w:t>
      </w:r>
    </w:p>
    <w:p w:rsidR="0025154A" w:rsidRPr="00A3776F" w:rsidRDefault="0025154A" w:rsidP="0025154A">
      <w:pPr>
        <w:rPr>
          <w:rFonts w:ascii="Verdana" w:hAnsi="Verdana"/>
          <w:sz w:val="20"/>
          <w:szCs w:val="20"/>
        </w:rPr>
      </w:pPr>
      <w:r w:rsidRPr="00A3776F">
        <w:rPr>
          <w:rFonts w:ascii="Verdana" w:hAnsi="Verdana"/>
          <w:sz w:val="20"/>
          <w:szCs w:val="20"/>
        </w:rPr>
        <w:t xml:space="preserve">A-level </w:t>
      </w:r>
      <w:r w:rsidR="002931E5" w:rsidRPr="00A3776F">
        <w:rPr>
          <w:rFonts w:ascii="Verdana" w:hAnsi="Verdana"/>
          <w:sz w:val="20"/>
          <w:szCs w:val="20"/>
        </w:rPr>
        <w:t>Maths</w:t>
      </w:r>
      <w:r w:rsidRPr="00A3776F">
        <w:rPr>
          <w:rFonts w:ascii="Verdana" w:hAnsi="Verdana"/>
          <w:sz w:val="20"/>
          <w:szCs w:val="20"/>
        </w:rPr>
        <w:t xml:space="preserve"> was the most popular A-level subject in 2016, and the uptake of Further </w:t>
      </w:r>
      <w:r w:rsidR="002931E5" w:rsidRPr="00A3776F">
        <w:rPr>
          <w:rFonts w:ascii="Verdana" w:hAnsi="Verdana"/>
          <w:sz w:val="20"/>
          <w:szCs w:val="20"/>
        </w:rPr>
        <w:t>Maths</w:t>
      </w:r>
      <w:r w:rsidRPr="00A3776F">
        <w:rPr>
          <w:rFonts w:ascii="Verdana" w:hAnsi="Verdana"/>
          <w:sz w:val="20"/>
          <w:szCs w:val="20"/>
        </w:rPr>
        <w:t xml:space="preserve"> has been increasing over recent years</w:t>
      </w:r>
      <w:r w:rsidR="008C190C" w:rsidRPr="00A3776F">
        <w:rPr>
          <w:rFonts w:ascii="Verdana" w:hAnsi="Verdana"/>
          <w:sz w:val="20"/>
          <w:szCs w:val="20"/>
        </w:rPr>
        <w:t xml:space="preserve"> (see Figure</w:t>
      </w:r>
      <w:r w:rsidR="00DB33D1" w:rsidRPr="00A3776F">
        <w:rPr>
          <w:rFonts w:ascii="Verdana" w:hAnsi="Verdana"/>
          <w:sz w:val="20"/>
          <w:szCs w:val="20"/>
        </w:rPr>
        <w:t xml:space="preserve"> 1</w:t>
      </w:r>
      <w:r w:rsidR="008C190C" w:rsidRPr="00A3776F">
        <w:rPr>
          <w:rFonts w:ascii="Verdana" w:hAnsi="Verdana"/>
          <w:sz w:val="20"/>
          <w:szCs w:val="20"/>
        </w:rPr>
        <w:t>)</w:t>
      </w:r>
      <w:r w:rsidRPr="00A3776F">
        <w:rPr>
          <w:rFonts w:ascii="Verdana" w:hAnsi="Verdana"/>
          <w:sz w:val="20"/>
          <w:szCs w:val="20"/>
        </w:rPr>
        <w:t>.</w:t>
      </w:r>
    </w:p>
    <w:p w:rsidR="0025154A" w:rsidRPr="00A3776F" w:rsidRDefault="004717E9" w:rsidP="00DB33D1">
      <w:pPr>
        <w:spacing w:after="0"/>
        <w:rPr>
          <w:rFonts w:ascii="Verdana" w:hAnsi="Verdana"/>
          <w:sz w:val="20"/>
          <w:szCs w:val="20"/>
        </w:rPr>
      </w:pPr>
      <w:r w:rsidRPr="00A3776F">
        <w:rPr>
          <w:rFonts w:ascii="Verdana" w:hAnsi="Verdana"/>
          <w:noProof/>
          <w:sz w:val="20"/>
          <w:szCs w:val="20"/>
          <w:lang w:eastAsia="en-GB"/>
        </w:rPr>
        <w:lastRenderedPageBreak/>
        <w:drawing>
          <wp:inline distT="0" distB="0" distL="0" distR="0" wp14:anchorId="7421594F" wp14:editId="3E6C1A38">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C190C" w:rsidRPr="00A3776F" w:rsidRDefault="00DB33D1" w:rsidP="008C190C">
      <w:pPr>
        <w:rPr>
          <w:rFonts w:ascii="Verdana" w:hAnsi="Verdana"/>
          <w:i/>
          <w:sz w:val="18"/>
          <w:szCs w:val="20"/>
        </w:rPr>
      </w:pPr>
      <w:r w:rsidRPr="00A3776F">
        <w:rPr>
          <w:rFonts w:ascii="Verdana" w:hAnsi="Verdana"/>
          <w:i/>
          <w:sz w:val="20"/>
          <w:szCs w:val="20"/>
        </w:rPr>
        <w:t>Figure 1 – Number of Further Maths AS- and A-levels awarded 2004</w:t>
      </w:r>
      <w:r w:rsidR="00EB4338" w:rsidRPr="00A3776F">
        <w:rPr>
          <w:rFonts w:ascii="Verdana" w:hAnsi="Verdana"/>
          <w:i/>
          <w:sz w:val="20"/>
          <w:szCs w:val="20"/>
        </w:rPr>
        <w:t>-</w:t>
      </w:r>
      <w:r w:rsidRPr="00A3776F">
        <w:rPr>
          <w:rFonts w:ascii="Verdana" w:hAnsi="Verdana"/>
          <w:i/>
          <w:sz w:val="20"/>
          <w:szCs w:val="20"/>
        </w:rPr>
        <w:t>2016</w:t>
      </w:r>
      <w:r w:rsidRPr="00A3776F">
        <w:rPr>
          <w:rFonts w:ascii="Verdana" w:hAnsi="Verdana"/>
          <w:i/>
          <w:sz w:val="20"/>
          <w:szCs w:val="20"/>
        </w:rPr>
        <w:br/>
      </w:r>
      <w:r w:rsidR="008C190C" w:rsidRPr="00A3776F">
        <w:rPr>
          <w:rFonts w:ascii="Verdana" w:hAnsi="Verdana"/>
          <w:sz w:val="18"/>
          <w:szCs w:val="20"/>
        </w:rPr>
        <w:t>Source: Joint Council for Qualifications (2016)</w:t>
      </w:r>
    </w:p>
    <w:p w:rsidR="00873163" w:rsidRPr="00A3776F" w:rsidRDefault="00873163" w:rsidP="008C190C">
      <w:pPr>
        <w:rPr>
          <w:rFonts w:ascii="Verdana" w:hAnsi="Verdana"/>
          <w:sz w:val="20"/>
          <w:szCs w:val="20"/>
        </w:rPr>
      </w:pPr>
      <w:r w:rsidRPr="00A3776F">
        <w:rPr>
          <w:rFonts w:ascii="Verdana" w:hAnsi="Verdana"/>
          <w:sz w:val="20"/>
          <w:szCs w:val="20"/>
        </w:rPr>
        <w:t xml:space="preserve">Many A-level Further Maths candidates first study the subject as an AS-level, unsure as to whether they would wish to study it for the full two years. </w:t>
      </w:r>
      <w:r w:rsidR="00EB4338" w:rsidRPr="00A3776F">
        <w:rPr>
          <w:rFonts w:ascii="Verdana" w:hAnsi="Verdana"/>
          <w:sz w:val="20"/>
          <w:szCs w:val="20"/>
        </w:rPr>
        <w:t>Some</w:t>
      </w:r>
      <w:r w:rsidRPr="00A3776F">
        <w:rPr>
          <w:rFonts w:ascii="Verdana" w:hAnsi="Verdana"/>
          <w:sz w:val="20"/>
          <w:szCs w:val="20"/>
        </w:rPr>
        <w:t xml:space="preserve"> find </w:t>
      </w:r>
      <w:r w:rsidR="00EB4338" w:rsidRPr="00A3776F">
        <w:rPr>
          <w:rFonts w:ascii="Verdana" w:hAnsi="Verdana"/>
          <w:sz w:val="20"/>
          <w:szCs w:val="20"/>
        </w:rPr>
        <w:t xml:space="preserve">that </w:t>
      </w:r>
      <w:r w:rsidRPr="00A3776F">
        <w:rPr>
          <w:rFonts w:ascii="Verdana" w:hAnsi="Verdana"/>
          <w:sz w:val="20"/>
          <w:szCs w:val="20"/>
        </w:rPr>
        <w:t xml:space="preserve">they enjoy the subject and are successful, and end up taking the full A-level. </w:t>
      </w:r>
    </w:p>
    <w:p w:rsidR="0025154A" w:rsidRPr="00A3776F" w:rsidRDefault="0025154A" w:rsidP="0025154A">
      <w:pPr>
        <w:pStyle w:val="Heading2"/>
        <w:rPr>
          <w:rFonts w:ascii="Verdana" w:hAnsi="Verdana"/>
          <w:color w:val="auto"/>
          <w:sz w:val="18"/>
          <w:szCs w:val="20"/>
        </w:rPr>
      </w:pPr>
      <w:r w:rsidRPr="00A3776F">
        <w:rPr>
          <w:rFonts w:ascii="Verdana" w:hAnsi="Verdana"/>
          <w:color w:val="auto"/>
          <w:sz w:val="18"/>
          <w:szCs w:val="20"/>
        </w:rPr>
        <w:t>1.1 Pre-2017 A-level</w:t>
      </w:r>
      <w:r w:rsidR="00A6052A" w:rsidRPr="00A3776F">
        <w:rPr>
          <w:rFonts w:ascii="Verdana" w:hAnsi="Verdana"/>
          <w:color w:val="auto"/>
          <w:sz w:val="18"/>
          <w:szCs w:val="20"/>
        </w:rPr>
        <w:t xml:space="preserve"> </w:t>
      </w:r>
      <w:r w:rsidR="002931E5" w:rsidRPr="00A3776F">
        <w:rPr>
          <w:rFonts w:ascii="Verdana" w:hAnsi="Verdana"/>
          <w:color w:val="auto"/>
          <w:sz w:val="18"/>
          <w:szCs w:val="20"/>
        </w:rPr>
        <w:t>Maths</w:t>
      </w:r>
      <w:r w:rsidR="00A6052A" w:rsidRPr="00A3776F">
        <w:rPr>
          <w:rFonts w:ascii="Verdana" w:hAnsi="Verdana"/>
          <w:color w:val="auto"/>
          <w:sz w:val="18"/>
          <w:szCs w:val="20"/>
        </w:rPr>
        <w:t xml:space="preserve"> and Further </w:t>
      </w:r>
      <w:r w:rsidR="002931E5" w:rsidRPr="00A3776F">
        <w:rPr>
          <w:rFonts w:ascii="Verdana" w:hAnsi="Verdana"/>
          <w:color w:val="auto"/>
          <w:sz w:val="18"/>
          <w:szCs w:val="20"/>
        </w:rPr>
        <w:t>Maths</w:t>
      </w:r>
    </w:p>
    <w:p w:rsidR="00873163" w:rsidRPr="00A3776F" w:rsidRDefault="00873163" w:rsidP="0025154A">
      <w:pPr>
        <w:rPr>
          <w:rFonts w:ascii="Verdana" w:hAnsi="Verdana"/>
          <w:sz w:val="20"/>
          <w:szCs w:val="20"/>
        </w:rPr>
      </w:pPr>
      <w:r w:rsidRPr="00A3776F">
        <w:rPr>
          <w:rFonts w:ascii="Verdana" w:hAnsi="Verdana"/>
          <w:sz w:val="20"/>
          <w:szCs w:val="20"/>
        </w:rPr>
        <w:t xml:space="preserve">AS-level results counted towards 50% of the overall A-level result. After taking AS-level examinations, students could continue to stop studying the subject and be awarded the AS-level, or continue studying for another year to earn an A-level after sitting further examinations. </w:t>
      </w:r>
    </w:p>
    <w:p w:rsidR="008C190C" w:rsidRPr="00A3776F" w:rsidRDefault="000359F7" w:rsidP="0025154A">
      <w:pPr>
        <w:rPr>
          <w:rFonts w:ascii="Verdana" w:hAnsi="Verdana"/>
          <w:sz w:val="20"/>
          <w:szCs w:val="20"/>
        </w:rPr>
      </w:pPr>
      <w:r w:rsidRPr="00A3776F">
        <w:rPr>
          <w:rFonts w:ascii="Verdana" w:hAnsi="Verdana"/>
          <w:sz w:val="20"/>
          <w:szCs w:val="20"/>
        </w:rPr>
        <w:t xml:space="preserve">Pre-September 2017, there were five different ‘strands’ of units available to study as part of AS- and A-level </w:t>
      </w:r>
      <w:r w:rsidR="002931E5" w:rsidRPr="00A3776F">
        <w:rPr>
          <w:rFonts w:ascii="Verdana" w:hAnsi="Verdana"/>
          <w:sz w:val="20"/>
          <w:szCs w:val="20"/>
        </w:rPr>
        <w:t>Maths</w:t>
      </w:r>
      <w:r w:rsidRPr="00A3776F">
        <w:rPr>
          <w:rFonts w:ascii="Verdana" w:hAnsi="Verdana"/>
          <w:sz w:val="20"/>
          <w:szCs w:val="20"/>
        </w:rPr>
        <w:t xml:space="preserve"> and Further </w:t>
      </w:r>
      <w:r w:rsidR="002931E5" w:rsidRPr="00A3776F">
        <w:rPr>
          <w:rFonts w:ascii="Verdana" w:hAnsi="Verdana"/>
          <w:sz w:val="20"/>
          <w:szCs w:val="20"/>
        </w:rPr>
        <w:t>Maths</w:t>
      </w:r>
      <w:r w:rsidRPr="00A3776F">
        <w:rPr>
          <w:rFonts w:ascii="Verdana" w:hAnsi="Verdana"/>
          <w:sz w:val="20"/>
          <w:szCs w:val="20"/>
        </w:rPr>
        <w:t>:</w:t>
      </w:r>
    </w:p>
    <w:p w:rsidR="000359F7" w:rsidRPr="00A3776F" w:rsidRDefault="000359F7" w:rsidP="000359F7">
      <w:pPr>
        <w:pStyle w:val="ListParagraph"/>
        <w:numPr>
          <w:ilvl w:val="0"/>
          <w:numId w:val="1"/>
        </w:numPr>
        <w:rPr>
          <w:rFonts w:ascii="Verdana" w:hAnsi="Verdana"/>
          <w:sz w:val="20"/>
          <w:szCs w:val="20"/>
        </w:rPr>
      </w:pPr>
      <w:r w:rsidRPr="00A3776F">
        <w:rPr>
          <w:rFonts w:ascii="Verdana" w:hAnsi="Verdana"/>
          <w:sz w:val="20"/>
          <w:szCs w:val="20"/>
        </w:rPr>
        <w:t>Core Pure: 4 units</w:t>
      </w:r>
    </w:p>
    <w:p w:rsidR="000359F7" w:rsidRPr="00A3776F" w:rsidRDefault="000359F7" w:rsidP="000359F7">
      <w:pPr>
        <w:pStyle w:val="ListParagraph"/>
        <w:numPr>
          <w:ilvl w:val="0"/>
          <w:numId w:val="1"/>
        </w:numPr>
        <w:rPr>
          <w:rFonts w:ascii="Verdana" w:hAnsi="Verdana"/>
          <w:sz w:val="20"/>
          <w:szCs w:val="20"/>
        </w:rPr>
      </w:pPr>
      <w:r w:rsidRPr="00A3776F">
        <w:rPr>
          <w:rFonts w:ascii="Verdana" w:hAnsi="Verdana"/>
          <w:sz w:val="20"/>
          <w:szCs w:val="20"/>
        </w:rPr>
        <w:t>Mechanics: up to 5 sequential units, depending on the awarding body</w:t>
      </w:r>
    </w:p>
    <w:p w:rsidR="000359F7" w:rsidRPr="00A3776F" w:rsidRDefault="000359F7" w:rsidP="000359F7">
      <w:pPr>
        <w:pStyle w:val="ListParagraph"/>
        <w:numPr>
          <w:ilvl w:val="0"/>
          <w:numId w:val="1"/>
        </w:numPr>
        <w:rPr>
          <w:rFonts w:ascii="Verdana" w:hAnsi="Verdana"/>
          <w:sz w:val="20"/>
          <w:szCs w:val="20"/>
        </w:rPr>
      </w:pPr>
      <w:r w:rsidRPr="00A3776F">
        <w:rPr>
          <w:rFonts w:ascii="Verdana" w:hAnsi="Verdana"/>
          <w:sz w:val="20"/>
          <w:szCs w:val="20"/>
        </w:rPr>
        <w:t>Statistics: 4 sequential units</w:t>
      </w:r>
    </w:p>
    <w:p w:rsidR="000359F7" w:rsidRPr="00A3776F" w:rsidRDefault="000359F7" w:rsidP="000359F7">
      <w:pPr>
        <w:pStyle w:val="ListParagraph"/>
        <w:numPr>
          <w:ilvl w:val="0"/>
          <w:numId w:val="1"/>
        </w:numPr>
        <w:rPr>
          <w:rFonts w:ascii="Verdana" w:hAnsi="Verdana"/>
          <w:sz w:val="20"/>
          <w:szCs w:val="20"/>
        </w:rPr>
      </w:pPr>
      <w:r w:rsidRPr="00A3776F">
        <w:rPr>
          <w:rFonts w:ascii="Verdana" w:hAnsi="Verdana"/>
          <w:sz w:val="20"/>
          <w:szCs w:val="20"/>
        </w:rPr>
        <w:t xml:space="preserve">Decision </w:t>
      </w:r>
      <w:r w:rsidR="002931E5" w:rsidRPr="00A3776F">
        <w:rPr>
          <w:rFonts w:ascii="Verdana" w:hAnsi="Verdana"/>
          <w:sz w:val="20"/>
          <w:szCs w:val="20"/>
        </w:rPr>
        <w:t>Maths</w:t>
      </w:r>
      <w:r w:rsidRPr="00A3776F">
        <w:rPr>
          <w:rFonts w:ascii="Verdana" w:hAnsi="Verdana"/>
          <w:sz w:val="20"/>
          <w:szCs w:val="20"/>
        </w:rPr>
        <w:t>: 2 sequential units</w:t>
      </w:r>
    </w:p>
    <w:p w:rsidR="000359F7" w:rsidRPr="00A3776F" w:rsidRDefault="000359F7" w:rsidP="000359F7">
      <w:pPr>
        <w:pStyle w:val="ListParagraph"/>
        <w:numPr>
          <w:ilvl w:val="0"/>
          <w:numId w:val="1"/>
        </w:numPr>
        <w:rPr>
          <w:rFonts w:ascii="Verdana" w:hAnsi="Verdana"/>
          <w:sz w:val="20"/>
          <w:szCs w:val="20"/>
        </w:rPr>
      </w:pPr>
      <w:r w:rsidRPr="00A3776F">
        <w:rPr>
          <w:rFonts w:ascii="Verdana" w:hAnsi="Verdana"/>
          <w:sz w:val="20"/>
          <w:szCs w:val="20"/>
        </w:rPr>
        <w:t xml:space="preserve">Further Pure </w:t>
      </w:r>
      <w:r w:rsidR="002931E5" w:rsidRPr="00A3776F">
        <w:rPr>
          <w:rFonts w:ascii="Verdana" w:hAnsi="Verdana"/>
          <w:sz w:val="20"/>
          <w:szCs w:val="20"/>
        </w:rPr>
        <w:t>Maths</w:t>
      </w:r>
      <w:r w:rsidRPr="00A3776F">
        <w:rPr>
          <w:rFonts w:ascii="Verdana" w:hAnsi="Verdana"/>
          <w:sz w:val="20"/>
          <w:szCs w:val="20"/>
        </w:rPr>
        <w:t>: 4 units</w:t>
      </w:r>
    </w:p>
    <w:p w:rsidR="000359F7" w:rsidRPr="00A3776F" w:rsidRDefault="000359F7" w:rsidP="000359F7">
      <w:pPr>
        <w:rPr>
          <w:rFonts w:ascii="Verdana" w:hAnsi="Verdana"/>
          <w:sz w:val="20"/>
          <w:szCs w:val="20"/>
        </w:rPr>
      </w:pPr>
      <w:r w:rsidRPr="00A3776F">
        <w:rPr>
          <w:rFonts w:ascii="Verdana" w:hAnsi="Verdana"/>
          <w:sz w:val="20"/>
          <w:szCs w:val="20"/>
        </w:rPr>
        <w:t>Some units are compulsory, others optional:</w:t>
      </w:r>
    </w:p>
    <w:p w:rsidR="000359F7" w:rsidRPr="00A3776F" w:rsidRDefault="000359F7" w:rsidP="000359F7">
      <w:pPr>
        <w:pStyle w:val="ListParagraph"/>
        <w:numPr>
          <w:ilvl w:val="0"/>
          <w:numId w:val="2"/>
        </w:numPr>
        <w:rPr>
          <w:rFonts w:ascii="Verdana" w:hAnsi="Verdana"/>
          <w:sz w:val="20"/>
          <w:szCs w:val="20"/>
        </w:rPr>
      </w:pPr>
      <w:r w:rsidRPr="00A3776F">
        <w:rPr>
          <w:rFonts w:ascii="Verdana" w:hAnsi="Verdana"/>
          <w:sz w:val="20"/>
          <w:szCs w:val="20"/>
        </w:rPr>
        <w:t xml:space="preserve">AS-level </w:t>
      </w:r>
      <w:r w:rsidR="002931E5" w:rsidRPr="00A3776F">
        <w:rPr>
          <w:rFonts w:ascii="Verdana" w:hAnsi="Verdana"/>
          <w:sz w:val="20"/>
          <w:szCs w:val="20"/>
        </w:rPr>
        <w:t>Maths</w:t>
      </w:r>
      <w:r w:rsidRPr="00A3776F">
        <w:rPr>
          <w:rFonts w:ascii="Verdana" w:hAnsi="Verdana"/>
          <w:sz w:val="20"/>
          <w:szCs w:val="20"/>
        </w:rPr>
        <w:t xml:space="preserve">: C1, C2 + one applied unit </w:t>
      </w:r>
      <w:r w:rsidR="001D1564" w:rsidRPr="00A3776F">
        <w:rPr>
          <w:rFonts w:ascii="Verdana" w:hAnsi="Verdana"/>
          <w:sz w:val="20"/>
          <w:szCs w:val="20"/>
        </w:rPr>
        <w:br/>
      </w:r>
      <w:r w:rsidRPr="00A3776F">
        <w:rPr>
          <w:rFonts w:ascii="Verdana" w:hAnsi="Verdana"/>
          <w:sz w:val="20"/>
          <w:szCs w:val="20"/>
        </w:rPr>
        <w:t>(i.e. M1, S1 or D1)</w:t>
      </w:r>
    </w:p>
    <w:p w:rsidR="000359F7" w:rsidRPr="00A3776F" w:rsidRDefault="000359F7" w:rsidP="000359F7">
      <w:pPr>
        <w:pStyle w:val="ListParagraph"/>
        <w:numPr>
          <w:ilvl w:val="0"/>
          <w:numId w:val="2"/>
        </w:numPr>
        <w:rPr>
          <w:rFonts w:ascii="Verdana" w:hAnsi="Verdana"/>
          <w:sz w:val="20"/>
          <w:szCs w:val="20"/>
        </w:rPr>
      </w:pPr>
      <w:r w:rsidRPr="00A3776F">
        <w:rPr>
          <w:rFonts w:ascii="Verdana" w:hAnsi="Verdana"/>
          <w:sz w:val="20"/>
          <w:szCs w:val="20"/>
        </w:rPr>
        <w:t xml:space="preserve">A-level </w:t>
      </w:r>
      <w:r w:rsidR="002931E5" w:rsidRPr="00A3776F">
        <w:rPr>
          <w:rFonts w:ascii="Verdana" w:hAnsi="Verdana"/>
          <w:sz w:val="20"/>
          <w:szCs w:val="20"/>
        </w:rPr>
        <w:t>Maths</w:t>
      </w:r>
      <w:r w:rsidRPr="00A3776F">
        <w:rPr>
          <w:rFonts w:ascii="Verdana" w:hAnsi="Verdana"/>
          <w:sz w:val="20"/>
          <w:szCs w:val="20"/>
        </w:rPr>
        <w:t xml:space="preserve">: C1, C2, C3, C4 + 2 applied units </w:t>
      </w:r>
      <w:r w:rsidR="001D1564" w:rsidRPr="00A3776F">
        <w:rPr>
          <w:rFonts w:ascii="Verdana" w:hAnsi="Verdana"/>
          <w:sz w:val="20"/>
          <w:szCs w:val="20"/>
        </w:rPr>
        <w:br/>
      </w:r>
      <w:r w:rsidRPr="00A3776F">
        <w:rPr>
          <w:rFonts w:ascii="Verdana" w:hAnsi="Verdana"/>
          <w:sz w:val="20"/>
          <w:szCs w:val="20"/>
        </w:rPr>
        <w:t>(i.e. M1+M2, S1+S2, D1+D2, M1+D1, M1+S1, S1+D1)</w:t>
      </w:r>
    </w:p>
    <w:p w:rsidR="000359F7" w:rsidRPr="00A3776F" w:rsidRDefault="000359F7" w:rsidP="000359F7">
      <w:pPr>
        <w:pStyle w:val="ListParagraph"/>
        <w:numPr>
          <w:ilvl w:val="0"/>
          <w:numId w:val="2"/>
        </w:numPr>
        <w:rPr>
          <w:rFonts w:ascii="Verdana" w:hAnsi="Verdana"/>
          <w:sz w:val="20"/>
          <w:szCs w:val="20"/>
        </w:rPr>
      </w:pPr>
      <w:r w:rsidRPr="00A3776F">
        <w:rPr>
          <w:rFonts w:ascii="Verdana" w:hAnsi="Verdana"/>
          <w:sz w:val="20"/>
          <w:szCs w:val="20"/>
        </w:rPr>
        <w:t xml:space="preserve">AS-level Further </w:t>
      </w:r>
      <w:r w:rsidR="002931E5" w:rsidRPr="00A3776F">
        <w:rPr>
          <w:rFonts w:ascii="Verdana" w:hAnsi="Verdana"/>
          <w:sz w:val="20"/>
          <w:szCs w:val="20"/>
        </w:rPr>
        <w:t>Maths</w:t>
      </w:r>
      <w:r w:rsidRPr="00A3776F">
        <w:rPr>
          <w:rFonts w:ascii="Verdana" w:hAnsi="Verdana"/>
          <w:sz w:val="20"/>
          <w:szCs w:val="20"/>
        </w:rPr>
        <w:t xml:space="preserve">: FP1 + any 2 units not already studied in A-level </w:t>
      </w:r>
      <w:r w:rsidR="002931E5" w:rsidRPr="00A3776F">
        <w:rPr>
          <w:rFonts w:ascii="Verdana" w:hAnsi="Verdana"/>
          <w:sz w:val="20"/>
          <w:szCs w:val="20"/>
        </w:rPr>
        <w:t>Maths</w:t>
      </w:r>
    </w:p>
    <w:p w:rsidR="000359F7" w:rsidRPr="00A3776F" w:rsidRDefault="000359F7" w:rsidP="000359F7">
      <w:pPr>
        <w:pStyle w:val="ListParagraph"/>
        <w:numPr>
          <w:ilvl w:val="0"/>
          <w:numId w:val="2"/>
        </w:numPr>
        <w:rPr>
          <w:rFonts w:ascii="Verdana" w:hAnsi="Verdana"/>
          <w:sz w:val="20"/>
          <w:szCs w:val="20"/>
        </w:rPr>
      </w:pPr>
      <w:r w:rsidRPr="00A3776F">
        <w:rPr>
          <w:rFonts w:ascii="Verdana" w:hAnsi="Verdana"/>
          <w:sz w:val="20"/>
          <w:szCs w:val="20"/>
        </w:rPr>
        <w:t xml:space="preserve">A-level Further </w:t>
      </w:r>
      <w:r w:rsidR="002931E5" w:rsidRPr="00A3776F">
        <w:rPr>
          <w:rFonts w:ascii="Verdana" w:hAnsi="Verdana"/>
          <w:sz w:val="20"/>
          <w:szCs w:val="20"/>
        </w:rPr>
        <w:t>Maths</w:t>
      </w:r>
      <w:r w:rsidRPr="00A3776F">
        <w:rPr>
          <w:rFonts w:ascii="Verdana" w:hAnsi="Verdana"/>
          <w:sz w:val="20"/>
          <w:szCs w:val="20"/>
        </w:rPr>
        <w:t xml:space="preserve">: FP1 + another FP unit + 4 units not already studied in A-level </w:t>
      </w:r>
      <w:r w:rsidR="002931E5" w:rsidRPr="00A3776F">
        <w:rPr>
          <w:rFonts w:ascii="Verdana" w:hAnsi="Verdana"/>
          <w:sz w:val="20"/>
          <w:szCs w:val="20"/>
        </w:rPr>
        <w:t>Maths</w:t>
      </w:r>
    </w:p>
    <w:p w:rsidR="0025154A" w:rsidRPr="00A3776F" w:rsidRDefault="000359F7" w:rsidP="000359F7">
      <w:pPr>
        <w:rPr>
          <w:rFonts w:ascii="Verdana" w:hAnsi="Verdana"/>
          <w:sz w:val="20"/>
          <w:szCs w:val="20"/>
        </w:rPr>
      </w:pPr>
      <w:r w:rsidRPr="00A3776F">
        <w:rPr>
          <w:rFonts w:ascii="Verdana" w:hAnsi="Verdana"/>
          <w:sz w:val="20"/>
          <w:szCs w:val="20"/>
        </w:rPr>
        <w:lastRenderedPageBreak/>
        <w:t xml:space="preserve">Hence, there are six possible routes through A-level </w:t>
      </w:r>
      <w:r w:rsidR="002931E5" w:rsidRPr="00A3776F">
        <w:rPr>
          <w:rFonts w:ascii="Verdana" w:hAnsi="Verdana"/>
          <w:sz w:val="20"/>
          <w:szCs w:val="20"/>
        </w:rPr>
        <w:t>Maths</w:t>
      </w:r>
      <w:r w:rsidRPr="00A3776F">
        <w:rPr>
          <w:rFonts w:ascii="Verdana" w:hAnsi="Verdana"/>
          <w:sz w:val="20"/>
          <w:szCs w:val="20"/>
        </w:rPr>
        <w:t xml:space="preserve">, and many more through A-level Further </w:t>
      </w:r>
      <w:r w:rsidR="002931E5" w:rsidRPr="00A3776F">
        <w:rPr>
          <w:rFonts w:ascii="Verdana" w:hAnsi="Verdana"/>
          <w:sz w:val="20"/>
          <w:szCs w:val="20"/>
        </w:rPr>
        <w:t>Maths</w:t>
      </w:r>
      <w:r w:rsidRPr="00A3776F">
        <w:rPr>
          <w:rFonts w:ascii="Verdana" w:hAnsi="Verdana"/>
          <w:sz w:val="20"/>
          <w:szCs w:val="20"/>
        </w:rPr>
        <w:t>.</w:t>
      </w:r>
    </w:p>
    <w:p w:rsidR="001F262E" w:rsidRPr="00A3776F" w:rsidRDefault="001F262E" w:rsidP="000359F7">
      <w:pPr>
        <w:rPr>
          <w:rFonts w:ascii="Verdana" w:hAnsi="Verdana"/>
          <w:sz w:val="20"/>
          <w:szCs w:val="20"/>
        </w:rPr>
      </w:pPr>
      <w:r w:rsidRPr="00A3776F">
        <w:rPr>
          <w:rFonts w:ascii="Verdana" w:hAnsi="Verdana"/>
          <w:sz w:val="20"/>
          <w:szCs w:val="20"/>
        </w:rPr>
        <w:t xml:space="preserve">Each unit is assessed individually by means of a single 90 minute examination. </w:t>
      </w:r>
    </w:p>
    <w:p w:rsidR="0025154A" w:rsidRPr="00A3776F" w:rsidRDefault="0025154A" w:rsidP="0025154A">
      <w:pPr>
        <w:pStyle w:val="Heading2"/>
        <w:rPr>
          <w:rFonts w:ascii="Verdana" w:hAnsi="Verdana"/>
          <w:color w:val="auto"/>
          <w:sz w:val="18"/>
          <w:szCs w:val="20"/>
        </w:rPr>
      </w:pPr>
      <w:r w:rsidRPr="00A3776F">
        <w:rPr>
          <w:rFonts w:ascii="Verdana" w:hAnsi="Verdana"/>
          <w:color w:val="auto"/>
          <w:sz w:val="18"/>
          <w:szCs w:val="20"/>
        </w:rPr>
        <w:t xml:space="preserve">1.2 </w:t>
      </w:r>
      <w:r w:rsidR="00A6052A" w:rsidRPr="00A3776F">
        <w:rPr>
          <w:rFonts w:ascii="Verdana" w:hAnsi="Verdana"/>
          <w:color w:val="auto"/>
          <w:sz w:val="18"/>
          <w:szCs w:val="20"/>
        </w:rPr>
        <w:t>Post-2017 A-level Maths and Further Maths</w:t>
      </w:r>
    </w:p>
    <w:p w:rsidR="00873163" w:rsidRPr="00A3776F" w:rsidRDefault="00873163" w:rsidP="00873163">
      <w:pPr>
        <w:rPr>
          <w:rFonts w:ascii="Verdana" w:hAnsi="Verdana"/>
          <w:sz w:val="20"/>
          <w:szCs w:val="20"/>
        </w:rPr>
      </w:pPr>
      <w:r w:rsidRPr="00A3776F">
        <w:rPr>
          <w:rFonts w:ascii="Verdana" w:hAnsi="Verdana"/>
          <w:sz w:val="20"/>
          <w:szCs w:val="20"/>
        </w:rPr>
        <w:t>AS- and A-levels will be ‘decoupled’. That is, students’ results in AS-level examinations will no longer count towards the final A-level grade. However, students will be able to take the AS-level examinations if they wish to.</w:t>
      </w:r>
    </w:p>
    <w:p w:rsidR="0025154A" w:rsidRPr="00A3776F" w:rsidRDefault="00873163" w:rsidP="0025154A">
      <w:pPr>
        <w:rPr>
          <w:rFonts w:ascii="Verdana" w:hAnsi="Verdana"/>
          <w:sz w:val="20"/>
          <w:szCs w:val="20"/>
        </w:rPr>
      </w:pPr>
      <w:r w:rsidRPr="00A3776F">
        <w:rPr>
          <w:rFonts w:ascii="Verdana" w:hAnsi="Verdana"/>
          <w:sz w:val="20"/>
          <w:szCs w:val="20"/>
        </w:rPr>
        <w:t>I</w:t>
      </w:r>
      <w:r w:rsidR="0025154A" w:rsidRPr="00A3776F">
        <w:rPr>
          <w:rFonts w:ascii="Verdana" w:hAnsi="Verdana"/>
          <w:sz w:val="20"/>
          <w:szCs w:val="20"/>
        </w:rPr>
        <w:t xml:space="preserve">nstead of the optionality within the applied maths component, </w:t>
      </w:r>
      <w:r w:rsidRPr="00A3776F">
        <w:rPr>
          <w:rFonts w:ascii="Verdana" w:hAnsi="Verdana"/>
          <w:sz w:val="20"/>
          <w:szCs w:val="20"/>
        </w:rPr>
        <w:t>A-level Maths</w:t>
      </w:r>
      <w:r w:rsidR="0025154A" w:rsidRPr="00A3776F">
        <w:rPr>
          <w:rFonts w:ascii="Verdana" w:hAnsi="Verdana"/>
          <w:sz w:val="20"/>
          <w:szCs w:val="20"/>
        </w:rPr>
        <w:t xml:space="preserve"> will have compulsory mechanics and statistics components. </w:t>
      </w:r>
      <w:r w:rsidR="002931E5" w:rsidRPr="00A3776F">
        <w:rPr>
          <w:rFonts w:ascii="Verdana" w:hAnsi="Verdana"/>
          <w:sz w:val="20"/>
          <w:szCs w:val="20"/>
        </w:rPr>
        <w:t xml:space="preserve">Decision </w:t>
      </w:r>
      <w:r w:rsidR="006C0922" w:rsidRPr="00A3776F">
        <w:rPr>
          <w:rFonts w:ascii="Verdana" w:hAnsi="Verdana"/>
          <w:sz w:val="20"/>
          <w:szCs w:val="20"/>
        </w:rPr>
        <w:t>M</w:t>
      </w:r>
      <w:r w:rsidR="002931E5" w:rsidRPr="00A3776F">
        <w:rPr>
          <w:rFonts w:ascii="Verdana" w:hAnsi="Verdana"/>
          <w:sz w:val="20"/>
          <w:szCs w:val="20"/>
        </w:rPr>
        <w:t xml:space="preserve">aths units will no longer be available as part of A-level Maths. </w:t>
      </w:r>
      <w:r w:rsidR="0025154A" w:rsidRPr="00A3776F">
        <w:rPr>
          <w:rFonts w:ascii="Verdana" w:hAnsi="Verdana"/>
          <w:sz w:val="20"/>
          <w:szCs w:val="20"/>
        </w:rPr>
        <w:t xml:space="preserve">This means that A-level Maths students will no longer be able to specialise in any of those three areas by studying two units of the same strand. </w:t>
      </w:r>
      <w:r w:rsidRPr="00A3776F">
        <w:rPr>
          <w:rFonts w:ascii="Verdana" w:hAnsi="Verdana"/>
          <w:sz w:val="20"/>
          <w:szCs w:val="20"/>
        </w:rPr>
        <w:t xml:space="preserve">A-level Further </w:t>
      </w:r>
      <w:r w:rsidR="002931E5" w:rsidRPr="00A3776F">
        <w:rPr>
          <w:rFonts w:ascii="Verdana" w:hAnsi="Verdana"/>
          <w:sz w:val="20"/>
          <w:szCs w:val="20"/>
        </w:rPr>
        <w:t>Maths</w:t>
      </w:r>
      <w:r w:rsidRPr="00A3776F">
        <w:rPr>
          <w:rFonts w:ascii="Verdana" w:hAnsi="Verdana"/>
          <w:sz w:val="20"/>
          <w:szCs w:val="20"/>
        </w:rPr>
        <w:t xml:space="preserve"> will no longer follow the existing four-strand system of optionality, and instead the different awarding bodies may introduce innovative new options. </w:t>
      </w:r>
    </w:p>
    <w:p w:rsidR="00A6052A" w:rsidRPr="00A3776F" w:rsidRDefault="00E62982" w:rsidP="00A6052A">
      <w:pPr>
        <w:pStyle w:val="Heading2"/>
        <w:rPr>
          <w:rFonts w:ascii="Verdana" w:hAnsi="Verdana"/>
          <w:color w:val="auto"/>
          <w:sz w:val="18"/>
          <w:szCs w:val="20"/>
        </w:rPr>
      </w:pPr>
      <w:r w:rsidRPr="00A3776F">
        <w:rPr>
          <w:rFonts w:ascii="Verdana" w:hAnsi="Verdana"/>
          <w:color w:val="auto"/>
          <w:sz w:val="18"/>
          <w:szCs w:val="20"/>
        </w:rPr>
        <w:t>1.3 Admissions t</w:t>
      </w:r>
      <w:r w:rsidR="00A6052A" w:rsidRPr="00A3776F">
        <w:rPr>
          <w:rFonts w:ascii="Verdana" w:hAnsi="Verdana"/>
          <w:color w:val="auto"/>
          <w:sz w:val="18"/>
          <w:szCs w:val="20"/>
        </w:rPr>
        <w:t>ests</w:t>
      </w:r>
    </w:p>
    <w:p w:rsidR="00A6052A" w:rsidRPr="00A3776F" w:rsidRDefault="00A6052A" w:rsidP="00A6052A">
      <w:pPr>
        <w:rPr>
          <w:rFonts w:ascii="Verdana" w:hAnsi="Verdana"/>
          <w:sz w:val="20"/>
          <w:szCs w:val="20"/>
        </w:rPr>
      </w:pPr>
      <w:r w:rsidRPr="00A3776F">
        <w:rPr>
          <w:rFonts w:ascii="Verdana" w:hAnsi="Verdana"/>
          <w:sz w:val="20"/>
          <w:szCs w:val="20"/>
        </w:rPr>
        <w:t>In addition to requiring students to achieve certain</w:t>
      </w:r>
      <w:r w:rsidR="00EB4338" w:rsidRPr="00A3776F">
        <w:rPr>
          <w:rFonts w:ascii="Verdana" w:hAnsi="Verdana"/>
          <w:sz w:val="20"/>
          <w:szCs w:val="20"/>
        </w:rPr>
        <w:t xml:space="preserve"> A-level</w:t>
      </w:r>
      <w:r w:rsidRPr="00A3776F">
        <w:rPr>
          <w:rFonts w:ascii="Verdana" w:hAnsi="Verdana"/>
          <w:sz w:val="20"/>
          <w:szCs w:val="20"/>
        </w:rPr>
        <w:t xml:space="preserve"> grades, an increasing number of universities now require students to pass admissions tests or what I shall term ‘extension papers’. The three most common are:</w:t>
      </w:r>
    </w:p>
    <w:p w:rsidR="00A6052A" w:rsidRPr="00A3776F" w:rsidRDefault="00A6052A" w:rsidP="00A6052A">
      <w:pPr>
        <w:pStyle w:val="ListParagraph"/>
        <w:numPr>
          <w:ilvl w:val="0"/>
          <w:numId w:val="3"/>
        </w:numPr>
        <w:rPr>
          <w:rFonts w:ascii="Verdana" w:hAnsi="Verdana"/>
          <w:sz w:val="20"/>
          <w:szCs w:val="20"/>
        </w:rPr>
      </w:pPr>
      <w:r w:rsidRPr="00A3776F">
        <w:rPr>
          <w:rFonts w:ascii="Verdana" w:hAnsi="Verdana"/>
          <w:b/>
          <w:sz w:val="20"/>
          <w:szCs w:val="20"/>
        </w:rPr>
        <w:t>The Mathematics Admissions Test (MAT)</w:t>
      </w:r>
      <w:r w:rsidRPr="00A3776F">
        <w:rPr>
          <w:rFonts w:ascii="Verdana" w:hAnsi="Verdana"/>
          <w:sz w:val="20"/>
          <w:szCs w:val="20"/>
        </w:rPr>
        <w:t xml:space="preserve">, required by the University of Oxford and Imperial College London for shortlisting for interviews. The MAT is based on AS-level </w:t>
      </w:r>
      <w:r w:rsidR="002931E5" w:rsidRPr="00A3776F">
        <w:rPr>
          <w:rFonts w:ascii="Verdana" w:hAnsi="Verdana"/>
          <w:sz w:val="20"/>
          <w:szCs w:val="20"/>
        </w:rPr>
        <w:t>Maths</w:t>
      </w:r>
      <w:r w:rsidRPr="00A3776F">
        <w:rPr>
          <w:rFonts w:ascii="Verdana" w:hAnsi="Verdana"/>
          <w:sz w:val="20"/>
          <w:szCs w:val="20"/>
        </w:rPr>
        <w:t xml:space="preserve"> material</w:t>
      </w:r>
      <w:r w:rsidR="001D5E6B" w:rsidRPr="00A3776F">
        <w:rPr>
          <w:rFonts w:ascii="Verdana" w:hAnsi="Verdana"/>
          <w:sz w:val="20"/>
          <w:szCs w:val="20"/>
        </w:rPr>
        <w:t xml:space="preserve"> only.</w:t>
      </w:r>
    </w:p>
    <w:p w:rsidR="00A6052A" w:rsidRPr="00A3776F" w:rsidRDefault="00A6052A" w:rsidP="00A6052A">
      <w:pPr>
        <w:pStyle w:val="ListParagraph"/>
        <w:numPr>
          <w:ilvl w:val="0"/>
          <w:numId w:val="3"/>
        </w:numPr>
        <w:rPr>
          <w:rFonts w:ascii="Verdana" w:hAnsi="Verdana"/>
          <w:sz w:val="20"/>
          <w:szCs w:val="20"/>
        </w:rPr>
      </w:pPr>
      <w:r w:rsidRPr="00A3776F">
        <w:rPr>
          <w:rFonts w:ascii="Verdana" w:hAnsi="Verdana"/>
          <w:b/>
          <w:sz w:val="20"/>
          <w:szCs w:val="20"/>
        </w:rPr>
        <w:t>The Advanced Extension Award (AEA)</w:t>
      </w:r>
      <w:r w:rsidRPr="00A3776F">
        <w:rPr>
          <w:rFonts w:ascii="Verdana" w:hAnsi="Verdana"/>
          <w:sz w:val="20"/>
          <w:szCs w:val="20"/>
        </w:rPr>
        <w:t xml:space="preserve"> was introduced in 2002 in order to help universities distinguish between the highest-performing candidates. It is based on A-level </w:t>
      </w:r>
      <w:r w:rsidR="002931E5" w:rsidRPr="00A3776F">
        <w:rPr>
          <w:rFonts w:ascii="Verdana" w:hAnsi="Verdana"/>
          <w:sz w:val="20"/>
          <w:szCs w:val="20"/>
        </w:rPr>
        <w:t>Maths</w:t>
      </w:r>
      <w:r w:rsidRPr="00A3776F">
        <w:rPr>
          <w:rFonts w:ascii="Verdana" w:hAnsi="Verdana"/>
          <w:sz w:val="20"/>
          <w:szCs w:val="20"/>
        </w:rPr>
        <w:t xml:space="preserve"> content.</w:t>
      </w:r>
      <w:r w:rsidR="00397604" w:rsidRPr="00A3776F">
        <w:rPr>
          <w:rFonts w:ascii="Verdana" w:hAnsi="Verdana"/>
          <w:sz w:val="20"/>
          <w:szCs w:val="20"/>
        </w:rPr>
        <w:t xml:space="preserve"> No universities make the AEA compulsory; however, they might make reduce A-level grade requirements to students who perform well. </w:t>
      </w:r>
    </w:p>
    <w:p w:rsidR="00A6052A" w:rsidRPr="00A3776F" w:rsidRDefault="00A6052A" w:rsidP="00A6052A">
      <w:pPr>
        <w:pStyle w:val="ListParagraph"/>
        <w:numPr>
          <w:ilvl w:val="0"/>
          <w:numId w:val="3"/>
        </w:numPr>
        <w:rPr>
          <w:rFonts w:ascii="Verdana" w:hAnsi="Verdana"/>
          <w:sz w:val="20"/>
          <w:szCs w:val="20"/>
        </w:rPr>
      </w:pPr>
      <w:r w:rsidRPr="00A3776F">
        <w:rPr>
          <w:rFonts w:ascii="Verdana" w:hAnsi="Verdana"/>
          <w:b/>
          <w:sz w:val="20"/>
          <w:szCs w:val="20"/>
        </w:rPr>
        <w:t>Sixth Term Examination Papers (STEPs)</w:t>
      </w:r>
      <w:r w:rsidRPr="00A3776F">
        <w:rPr>
          <w:rFonts w:ascii="Verdana" w:hAnsi="Verdana"/>
          <w:sz w:val="20"/>
          <w:szCs w:val="20"/>
        </w:rPr>
        <w:t xml:space="preserve">, which the University of Cambridge requires applicants to pass at certain levels in order to gain a place. Other universities will make reduced A-level grade requirements of students who perform well on STEPs. There are three papers – STEPs I, II and III – and students usually take two, depending on the university and whether they have taken A-level Further </w:t>
      </w:r>
      <w:r w:rsidR="002931E5" w:rsidRPr="00A3776F">
        <w:rPr>
          <w:rFonts w:ascii="Verdana" w:hAnsi="Verdana"/>
          <w:sz w:val="20"/>
          <w:szCs w:val="20"/>
        </w:rPr>
        <w:t>Maths</w:t>
      </w:r>
      <w:r w:rsidR="001D5E6B" w:rsidRPr="00A3776F">
        <w:rPr>
          <w:rFonts w:ascii="Verdana" w:hAnsi="Verdana"/>
          <w:sz w:val="20"/>
          <w:szCs w:val="20"/>
        </w:rPr>
        <w:t>.</w:t>
      </w:r>
    </w:p>
    <w:p w:rsidR="00733115" w:rsidRPr="00A3776F" w:rsidRDefault="00733115" w:rsidP="00733115">
      <w:pPr>
        <w:rPr>
          <w:rFonts w:ascii="Verdana" w:hAnsi="Verdana"/>
          <w:sz w:val="20"/>
          <w:szCs w:val="20"/>
        </w:rPr>
      </w:pPr>
      <w:r w:rsidRPr="00A3776F">
        <w:rPr>
          <w:rFonts w:ascii="Verdana" w:hAnsi="Verdana"/>
          <w:sz w:val="20"/>
          <w:szCs w:val="20"/>
        </w:rPr>
        <w:t>Each of these extension papers assess different types of mathematics skills, with the STEP found to be most aligned with undergraduate mathematics assessment (Darlington, 2015).</w:t>
      </w:r>
    </w:p>
    <w:p w:rsidR="00A6052A" w:rsidRPr="00A3776F" w:rsidRDefault="00A6052A" w:rsidP="00A6052A">
      <w:pPr>
        <w:rPr>
          <w:rFonts w:ascii="Verdana" w:hAnsi="Verdana"/>
          <w:sz w:val="20"/>
          <w:szCs w:val="20"/>
        </w:rPr>
      </w:pPr>
      <w:r w:rsidRPr="00A3776F">
        <w:rPr>
          <w:rFonts w:ascii="Verdana" w:hAnsi="Verdana"/>
          <w:sz w:val="20"/>
          <w:szCs w:val="20"/>
        </w:rPr>
        <w:t xml:space="preserve">In 2016, Cambridge Assessment Admissions Testing introduced a new </w:t>
      </w:r>
      <w:r w:rsidR="002931E5" w:rsidRPr="00A3776F">
        <w:rPr>
          <w:rFonts w:ascii="Verdana" w:hAnsi="Verdana"/>
          <w:sz w:val="20"/>
          <w:szCs w:val="20"/>
        </w:rPr>
        <w:t>maths</w:t>
      </w:r>
      <w:r w:rsidRPr="00A3776F">
        <w:rPr>
          <w:rFonts w:ascii="Verdana" w:hAnsi="Verdana"/>
          <w:sz w:val="20"/>
          <w:szCs w:val="20"/>
        </w:rPr>
        <w:t xml:space="preserve"> admissions test – the </w:t>
      </w:r>
      <w:r w:rsidRPr="00A3776F">
        <w:rPr>
          <w:rFonts w:ascii="Verdana" w:hAnsi="Verdana"/>
          <w:b/>
          <w:sz w:val="20"/>
          <w:szCs w:val="20"/>
        </w:rPr>
        <w:t>Test of Mathematics for University Admissions (TMUA)</w:t>
      </w:r>
      <w:r w:rsidR="008F1FD3" w:rsidRPr="00A3776F">
        <w:rPr>
          <w:rFonts w:ascii="Verdana" w:hAnsi="Verdana"/>
          <w:sz w:val="20"/>
          <w:szCs w:val="20"/>
        </w:rPr>
        <w:t xml:space="preserve"> – which aimed to assess a range of skills according to the Mathematics Assessment Task Hierarchy (Smith et al., 1996). </w:t>
      </w:r>
      <w:r w:rsidRPr="00A3776F">
        <w:rPr>
          <w:rFonts w:ascii="Verdana" w:hAnsi="Verdana"/>
          <w:sz w:val="20"/>
          <w:szCs w:val="20"/>
        </w:rPr>
        <w:t xml:space="preserve">This test </w:t>
      </w:r>
      <w:r w:rsidR="00397604" w:rsidRPr="00A3776F">
        <w:rPr>
          <w:rFonts w:ascii="Verdana" w:hAnsi="Verdana"/>
          <w:sz w:val="20"/>
          <w:szCs w:val="20"/>
        </w:rPr>
        <w:t xml:space="preserve">is based on AS-level </w:t>
      </w:r>
      <w:r w:rsidR="002931E5" w:rsidRPr="00A3776F">
        <w:rPr>
          <w:rFonts w:ascii="Verdana" w:hAnsi="Verdana"/>
          <w:sz w:val="20"/>
          <w:szCs w:val="20"/>
        </w:rPr>
        <w:t>Maths</w:t>
      </w:r>
      <w:r w:rsidR="00397604" w:rsidRPr="00A3776F">
        <w:rPr>
          <w:rFonts w:ascii="Verdana" w:hAnsi="Verdana"/>
          <w:sz w:val="20"/>
          <w:szCs w:val="20"/>
        </w:rPr>
        <w:t xml:space="preserve"> material, as well as mathematical logic. It is not compulsory to take the TMUA</w:t>
      </w:r>
      <w:r w:rsidR="00121DF8" w:rsidRPr="00A3776F">
        <w:rPr>
          <w:rFonts w:ascii="Verdana" w:hAnsi="Verdana"/>
          <w:sz w:val="20"/>
          <w:szCs w:val="20"/>
        </w:rPr>
        <w:t>; however</w:t>
      </w:r>
      <w:r w:rsidR="00397604" w:rsidRPr="00A3776F">
        <w:rPr>
          <w:rFonts w:ascii="Verdana" w:hAnsi="Verdana"/>
          <w:sz w:val="20"/>
          <w:szCs w:val="20"/>
        </w:rPr>
        <w:t xml:space="preserve"> </w:t>
      </w:r>
      <w:r w:rsidR="001D1564" w:rsidRPr="00A3776F">
        <w:rPr>
          <w:rFonts w:ascii="Verdana" w:hAnsi="Verdana"/>
          <w:sz w:val="20"/>
          <w:szCs w:val="20"/>
        </w:rPr>
        <w:t>g</w:t>
      </w:r>
      <w:r w:rsidR="00397604" w:rsidRPr="00A3776F">
        <w:rPr>
          <w:rFonts w:ascii="Verdana" w:hAnsi="Verdana"/>
          <w:sz w:val="20"/>
          <w:szCs w:val="20"/>
        </w:rPr>
        <w:t xml:space="preserve">ood performance in the TMUA could result in reduced A-level grade requirements for candidates. </w:t>
      </w:r>
    </w:p>
    <w:p w:rsidR="00873163" w:rsidRPr="00A3776F" w:rsidRDefault="00397604" w:rsidP="00873163">
      <w:pPr>
        <w:pStyle w:val="Heading1"/>
        <w:rPr>
          <w:rFonts w:ascii="Verdana" w:hAnsi="Verdana"/>
          <w:color w:val="auto"/>
          <w:sz w:val="24"/>
          <w:szCs w:val="24"/>
        </w:rPr>
      </w:pPr>
      <w:r w:rsidRPr="00A3776F">
        <w:rPr>
          <w:rFonts w:ascii="Verdana" w:hAnsi="Verdana"/>
          <w:color w:val="auto"/>
          <w:sz w:val="24"/>
          <w:szCs w:val="24"/>
        </w:rPr>
        <w:lastRenderedPageBreak/>
        <w:t>2. The study</w:t>
      </w:r>
    </w:p>
    <w:p w:rsidR="00DB33D1" w:rsidRPr="00A3776F" w:rsidRDefault="00DB33D1" w:rsidP="00DB33D1">
      <w:pPr>
        <w:rPr>
          <w:rFonts w:ascii="Verdana" w:hAnsi="Verdana"/>
          <w:sz w:val="20"/>
        </w:rPr>
      </w:pPr>
      <w:r w:rsidRPr="00A3776F">
        <w:rPr>
          <w:rFonts w:ascii="Verdana" w:hAnsi="Verdana"/>
          <w:sz w:val="20"/>
        </w:rPr>
        <w:t xml:space="preserve">The work outlined in this paper has already been published in various forms. The overarching project, The Mathematics Needs of Higher Education, and the articles which have stemmed from it are outlined in Darlington and Bowyer (2016). </w:t>
      </w:r>
    </w:p>
    <w:p w:rsidR="00397604" w:rsidRPr="00A3776F" w:rsidRDefault="00397604" w:rsidP="00397604">
      <w:pPr>
        <w:pStyle w:val="Heading2"/>
        <w:rPr>
          <w:rFonts w:ascii="Verdana" w:hAnsi="Verdana"/>
          <w:color w:val="auto"/>
          <w:sz w:val="18"/>
          <w:szCs w:val="20"/>
        </w:rPr>
      </w:pPr>
      <w:r w:rsidRPr="00A3776F">
        <w:rPr>
          <w:rFonts w:ascii="Verdana" w:hAnsi="Verdana"/>
          <w:color w:val="auto"/>
          <w:sz w:val="18"/>
          <w:szCs w:val="20"/>
        </w:rPr>
        <w:t>2.1 Rationale</w:t>
      </w:r>
    </w:p>
    <w:p w:rsidR="0025154A" w:rsidRPr="00A3776F" w:rsidRDefault="00397604" w:rsidP="0025154A">
      <w:pPr>
        <w:rPr>
          <w:rFonts w:ascii="Verdana" w:hAnsi="Verdana"/>
          <w:sz w:val="20"/>
          <w:szCs w:val="20"/>
        </w:rPr>
      </w:pPr>
      <w:r w:rsidRPr="00A3776F">
        <w:rPr>
          <w:rFonts w:ascii="Verdana" w:hAnsi="Verdana"/>
          <w:sz w:val="20"/>
          <w:szCs w:val="20"/>
        </w:rPr>
        <w:t xml:space="preserve">In 2014/15, a study was undertaken which aimed to guide OCR’s redevelopment of Further </w:t>
      </w:r>
      <w:r w:rsidR="002931E5" w:rsidRPr="00A3776F">
        <w:rPr>
          <w:rFonts w:ascii="Verdana" w:hAnsi="Verdana"/>
          <w:sz w:val="20"/>
          <w:szCs w:val="20"/>
        </w:rPr>
        <w:t>Maths</w:t>
      </w:r>
      <w:r w:rsidRPr="00A3776F">
        <w:rPr>
          <w:rFonts w:ascii="Verdana" w:hAnsi="Verdana"/>
          <w:sz w:val="20"/>
          <w:szCs w:val="20"/>
        </w:rPr>
        <w:t xml:space="preserve"> units. </w:t>
      </w:r>
      <w:r w:rsidR="0025154A" w:rsidRPr="00A3776F">
        <w:rPr>
          <w:rFonts w:ascii="Verdana" w:hAnsi="Verdana"/>
          <w:sz w:val="20"/>
          <w:szCs w:val="20"/>
        </w:rPr>
        <w:t xml:space="preserve">We sought to explore the role of the current </w:t>
      </w:r>
      <w:r w:rsidR="002931E5" w:rsidRPr="00A3776F">
        <w:rPr>
          <w:rFonts w:ascii="Verdana" w:hAnsi="Verdana"/>
          <w:sz w:val="20"/>
          <w:szCs w:val="20"/>
        </w:rPr>
        <w:t>maths</w:t>
      </w:r>
      <w:r w:rsidRPr="00A3776F">
        <w:rPr>
          <w:rFonts w:ascii="Verdana" w:hAnsi="Verdana"/>
          <w:sz w:val="20"/>
          <w:szCs w:val="20"/>
        </w:rPr>
        <w:t xml:space="preserve"> </w:t>
      </w:r>
      <w:r w:rsidR="0025154A" w:rsidRPr="00A3776F">
        <w:rPr>
          <w:rFonts w:ascii="Verdana" w:hAnsi="Verdana"/>
          <w:sz w:val="20"/>
          <w:szCs w:val="20"/>
        </w:rPr>
        <w:t xml:space="preserve">A-levels in preparing students for the mathematical demands of university study, and whether particular areas of </w:t>
      </w:r>
      <w:r w:rsidR="002931E5" w:rsidRPr="00A3776F">
        <w:rPr>
          <w:rFonts w:ascii="Verdana" w:hAnsi="Verdana"/>
          <w:sz w:val="20"/>
          <w:szCs w:val="20"/>
        </w:rPr>
        <w:t>maths</w:t>
      </w:r>
      <w:r w:rsidR="0025154A" w:rsidRPr="00A3776F">
        <w:rPr>
          <w:rFonts w:ascii="Verdana" w:hAnsi="Verdana"/>
          <w:sz w:val="20"/>
          <w:szCs w:val="20"/>
        </w:rPr>
        <w:t xml:space="preserve"> were considered to be useful for students of certain subjects. This information would </w:t>
      </w:r>
      <w:r w:rsidRPr="00A3776F">
        <w:rPr>
          <w:rFonts w:ascii="Verdana" w:hAnsi="Verdana"/>
          <w:sz w:val="20"/>
          <w:szCs w:val="20"/>
        </w:rPr>
        <w:t xml:space="preserve">also be helpful to </w:t>
      </w:r>
      <w:r w:rsidR="0025154A" w:rsidRPr="00A3776F">
        <w:rPr>
          <w:rFonts w:ascii="Verdana" w:hAnsi="Verdana"/>
          <w:sz w:val="20"/>
          <w:szCs w:val="20"/>
        </w:rPr>
        <w:t xml:space="preserve">clarify the needs of </w:t>
      </w:r>
      <w:r w:rsidRPr="00A3776F">
        <w:rPr>
          <w:rFonts w:ascii="Verdana" w:hAnsi="Verdana"/>
          <w:sz w:val="20"/>
          <w:szCs w:val="20"/>
        </w:rPr>
        <w:t xml:space="preserve">prospective students of different STEMM and social science subjects, and to see whether the current A-levels provided students with the preparation which they believed they required to be successful in the transition to university study. </w:t>
      </w:r>
    </w:p>
    <w:p w:rsidR="00397604" w:rsidRPr="00A3776F" w:rsidRDefault="00397604" w:rsidP="00397604">
      <w:pPr>
        <w:pStyle w:val="Heading2"/>
        <w:rPr>
          <w:rFonts w:ascii="Verdana" w:hAnsi="Verdana"/>
          <w:color w:val="auto"/>
          <w:sz w:val="18"/>
          <w:szCs w:val="20"/>
        </w:rPr>
      </w:pPr>
      <w:r w:rsidRPr="00A3776F">
        <w:rPr>
          <w:rFonts w:ascii="Verdana" w:hAnsi="Verdana"/>
          <w:color w:val="auto"/>
          <w:sz w:val="18"/>
          <w:szCs w:val="20"/>
        </w:rPr>
        <w:t>2.2 Research questions</w:t>
      </w:r>
    </w:p>
    <w:p w:rsidR="00397604" w:rsidRPr="00A3776F" w:rsidRDefault="00397604" w:rsidP="00397604">
      <w:pPr>
        <w:rPr>
          <w:rFonts w:ascii="Verdana" w:hAnsi="Verdana"/>
          <w:sz w:val="20"/>
          <w:szCs w:val="20"/>
        </w:rPr>
      </w:pPr>
      <w:r w:rsidRPr="00A3776F">
        <w:rPr>
          <w:rFonts w:ascii="Verdana" w:hAnsi="Verdana"/>
          <w:sz w:val="20"/>
          <w:szCs w:val="20"/>
        </w:rPr>
        <w:t xml:space="preserve">The research questions </w:t>
      </w:r>
      <w:r w:rsidR="00F46D48" w:rsidRPr="00A3776F">
        <w:rPr>
          <w:rFonts w:ascii="Verdana" w:hAnsi="Verdana"/>
          <w:sz w:val="20"/>
          <w:szCs w:val="20"/>
        </w:rPr>
        <w:t xml:space="preserve">relevant to this paper </w:t>
      </w:r>
      <w:r w:rsidRPr="00A3776F">
        <w:rPr>
          <w:rFonts w:ascii="Verdana" w:hAnsi="Verdana"/>
          <w:sz w:val="20"/>
          <w:szCs w:val="20"/>
        </w:rPr>
        <w:t>we sought to answer were:</w:t>
      </w:r>
    </w:p>
    <w:p w:rsidR="00397604" w:rsidRPr="00A3776F" w:rsidRDefault="00397604" w:rsidP="00397604">
      <w:pPr>
        <w:pStyle w:val="ListParagraph"/>
        <w:numPr>
          <w:ilvl w:val="0"/>
          <w:numId w:val="6"/>
        </w:numPr>
        <w:rPr>
          <w:rFonts w:ascii="Verdana" w:hAnsi="Verdana"/>
          <w:sz w:val="20"/>
          <w:szCs w:val="20"/>
        </w:rPr>
      </w:pPr>
      <w:r w:rsidRPr="00A3776F">
        <w:rPr>
          <w:rFonts w:ascii="Verdana" w:hAnsi="Verdana"/>
          <w:sz w:val="20"/>
          <w:szCs w:val="20"/>
        </w:rPr>
        <w:t xml:space="preserve">Which optional units in A-level </w:t>
      </w:r>
      <w:r w:rsidR="002931E5" w:rsidRPr="00A3776F">
        <w:rPr>
          <w:rFonts w:ascii="Verdana" w:hAnsi="Verdana"/>
          <w:sz w:val="20"/>
          <w:szCs w:val="20"/>
        </w:rPr>
        <w:t>Maths</w:t>
      </w:r>
      <w:r w:rsidRPr="00A3776F">
        <w:rPr>
          <w:rFonts w:ascii="Verdana" w:hAnsi="Verdana"/>
          <w:sz w:val="20"/>
          <w:szCs w:val="20"/>
        </w:rPr>
        <w:t xml:space="preserve"> and/or Further </w:t>
      </w:r>
      <w:r w:rsidR="002931E5" w:rsidRPr="00A3776F">
        <w:rPr>
          <w:rFonts w:ascii="Verdana" w:hAnsi="Verdana"/>
          <w:sz w:val="20"/>
          <w:szCs w:val="20"/>
        </w:rPr>
        <w:t>Maths</w:t>
      </w:r>
      <w:r w:rsidRPr="00A3776F">
        <w:rPr>
          <w:rFonts w:ascii="Verdana" w:hAnsi="Verdana"/>
          <w:sz w:val="20"/>
          <w:szCs w:val="20"/>
        </w:rPr>
        <w:t xml:space="preserve"> do undergraduates find useful as preparation for their degree?</w:t>
      </w:r>
    </w:p>
    <w:p w:rsidR="00397604" w:rsidRPr="00A3776F" w:rsidRDefault="00397604" w:rsidP="00397604">
      <w:pPr>
        <w:pStyle w:val="ListParagraph"/>
        <w:numPr>
          <w:ilvl w:val="0"/>
          <w:numId w:val="6"/>
        </w:numPr>
        <w:rPr>
          <w:rFonts w:ascii="Verdana" w:hAnsi="Verdana"/>
          <w:sz w:val="20"/>
          <w:szCs w:val="20"/>
        </w:rPr>
      </w:pPr>
      <w:r w:rsidRPr="00A3776F">
        <w:rPr>
          <w:rFonts w:ascii="Verdana" w:hAnsi="Verdana"/>
          <w:sz w:val="20"/>
          <w:szCs w:val="20"/>
        </w:rPr>
        <w:t xml:space="preserve">Do students who took A-level </w:t>
      </w:r>
      <w:r w:rsidR="002931E5" w:rsidRPr="00A3776F">
        <w:rPr>
          <w:rFonts w:ascii="Verdana" w:hAnsi="Verdana"/>
          <w:sz w:val="20"/>
          <w:szCs w:val="20"/>
        </w:rPr>
        <w:t>Maths</w:t>
      </w:r>
      <w:r w:rsidRPr="00A3776F">
        <w:rPr>
          <w:rFonts w:ascii="Verdana" w:hAnsi="Verdana"/>
          <w:sz w:val="20"/>
          <w:szCs w:val="20"/>
        </w:rPr>
        <w:t xml:space="preserve"> and/or Further </w:t>
      </w:r>
      <w:r w:rsidR="002931E5" w:rsidRPr="00A3776F">
        <w:rPr>
          <w:rFonts w:ascii="Verdana" w:hAnsi="Verdana"/>
          <w:sz w:val="20"/>
          <w:szCs w:val="20"/>
        </w:rPr>
        <w:t>Maths</w:t>
      </w:r>
      <w:r w:rsidRPr="00A3776F">
        <w:rPr>
          <w:rFonts w:ascii="Verdana" w:hAnsi="Verdana"/>
          <w:sz w:val="20"/>
          <w:szCs w:val="20"/>
        </w:rPr>
        <w:t xml:space="preserve"> believe the qualification(s) to be useful preparation for their degree?</w:t>
      </w:r>
    </w:p>
    <w:p w:rsidR="00397604" w:rsidRPr="00A3776F" w:rsidRDefault="00397604" w:rsidP="00397604">
      <w:pPr>
        <w:pStyle w:val="ListParagraph"/>
        <w:numPr>
          <w:ilvl w:val="0"/>
          <w:numId w:val="6"/>
        </w:numPr>
        <w:rPr>
          <w:rFonts w:ascii="Verdana" w:hAnsi="Verdana"/>
          <w:sz w:val="20"/>
          <w:szCs w:val="20"/>
        </w:rPr>
      </w:pPr>
      <w:r w:rsidRPr="00A3776F">
        <w:rPr>
          <w:rFonts w:ascii="Verdana" w:hAnsi="Verdana"/>
          <w:sz w:val="20"/>
          <w:szCs w:val="20"/>
        </w:rPr>
        <w:t xml:space="preserve">Are there any areas in which A-level </w:t>
      </w:r>
      <w:r w:rsidR="002931E5" w:rsidRPr="00A3776F">
        <w:rPr>
          <w:rFonts w:ascii="Verdana" w:hAnsi="Verdana"/>
          <w:sz w:val="20"/>
          <w:szCs w:val="20"/>
        </w:rPr>
        <w:t>Maths</w:t>
      </w:r>
      <w:r w:rsidRPr="00A3776F">
        <w:rPr>
          <w:rFonts w:ascii="Verdana" w:hAnsi="Verdana"/>
          <w:sz w:val="20"/>
          <w:szCs w:val="20"/>
        </w:rPr>
        <w:t xml:space="preserve"> and/or Further </w:t>
      </w:r>
      <w:r w:rsidR="002931E5" w:rsidRPr="00A3776F">
        <w:rPr>
          <w:rFonts w:ascii="Verdana" w:hAnsi="Verdana"/>
          <w:sz w:val="20"/>
          <w:szCs w:val="20"/>
        </w:rPr>
        <w:t>Maths</w:t>
      </w:r>
      <w:r w:rsidRPr="00A3776F">
        <w:rPr>
          <w:rFonts w:ascii="Verdana" w:hAnsi="Verdana"/>
          <w:sz w:val="20"/>
          <w:szCs w:val="20"/>
        </w:rPr>
        <w:t xml:space="preserve"> could be improved to suit the needs of future </w:t>
      </w:r>
      <w:r w:rsidR="002B3A15" w:rsidRPr="00A3776F">
        <w:rPr>
          <w:rFonts w:ascii="Verdana" w:hAnsi="Verdana"/>
          <w:sz w:val="20"/>
          <w:szCs w:val="20"/>
        </w:rPr>
        <w:t>undergraduate</w:t>
      </w:r>
      <w:r w:rsidR="004E77F5" w:rsidRPr="00A3776F">
        <w:rPr>
          <w:rFonts w:ascii="Verdana" w:hAnsi="Verdana"/>
          <w:sz w:val="20"/>
          <w:szCs w:val="20"/>
        </w:rPr>
        <w:t>s</w:t>
      </w:r>
      <w:r w:rsidRPr="00A3776F">
        <w:rPr>
          <w:rFonts w:ascii="Verdana" w:hAnsi="Verdana"/>
          <w:sz w:val="20"/>
          <w:szCs w:val="20"/>
        </w:rPr>
        <w:t>?</w:t>
      </w:r>
    </w:p>
    <w:p w:rsidR="004E77F5" w:rsidRPr="00A3776F" w:rsidRDefault="00F46D48" w:rsidP="004E77F5">
      <w:pPr>
        <w:pStyle w:val="ListParagraph"/>
        <w:numPr>
          <w:ilvl w:val="0"/>
          <w:numId w:val="6"/>
        </w:numPr>
        <w:rPr>
          <w:rFonts w:ascii="Verdana" w:hAnsi="Verdana"/>
          <w:sz w:val="20"/>
          <w:szCs w:val="20"/>
        </w:rPr>
      </w:pPr>
      <w:r w:rsidRPr="00A3776F">
        <w:rPr>
          <w:rFonts w:ascii="Verdana" w:hAnsi="Verdana"/>
          <w:sz w:val="20"/>
          <w:szCs w:val="20"/>
        </w:rPr>
        <w:t xml:space="preserve">Do students believe extension papers useful preparation for </w:t>
      </w:r>
      <w:r w:rsidR="002931E5" w:rsidRPr="00A3776F">
        <w:rPr>
          <w:rFonts w:ascii="Verdana" w:hAnsi="Verdana"/>
          <w:sz w:val="20"/>
          <w:szCs w:val="20"/>
        </w:rPr>
        <w:t>maths</w:t>
      </w:r>
      <w:r w:rsidRPr="00A3776F">
        <w:rPr>
          <w:rFonts w:ascii="Verdana" w:hAnsi="Verdana"/>
          <w:sz w:val="20"/>
          <w:szCs w:val="20"/>
        </w:rPr>
        <w:t xml:space="preserve"> degrees?</w:t>
      </w:r>
    </w:p>
    <w:p w:rsidR="00397604" w:rsidRPr="00A3776F" w:rsidRDefault="00397604" w:rsidP="00397604">
      <w:pPr>
        <w:pStyle w:val="Heading2"/>
        <w:rPr>
          <w:rFonts w:ascii="Verdana" w:hAnsi="Verdana"/>
          <w:color w:val="auto"/>
          <w:sz w:val="18"/>
          <w:szCs w:val="20"/>
        </w:rPr>
      </w:pPr>
      <w:r w:rsidRPr="00A3776F">
        <w:rPr>
          <w:rFonts w:ascii="Verdana" w:hAnsi="Verdana"/>
          <w:color w:val="auto"/>
          <w:sz w:val="18"/>
          <w:szCs w:val="20"/>
        </w:rPr>
        <w:t>2.2 Method</w:t>
      </w:r>
    </w:p>
    <w:p w:rsidR="00397604" w:rsidRPr="00A3776F" w:rsidRDefault="00397604" w:rsidP="0025154A">
      <w:pPr>
        <w:rPr>
          <w:rFonts w:ascii="Verdana" w:hAnsi="Verdana"/>
          <w:sz w:val="20"/>
          <w:szCs w:val="20"/>
        </w:rPr>
      </w:pPr>
      <w:r w:rsidRPr="00A3776F">
        <w:rPr>
          <w:rFonts w:ascii="Verdana" w:hAnsi="Verdana"/>
          <w:sz w:val="20"/>
          <w:szCs w:val="20"/>
        </w:rPr>
        <w:t xml:space="preserve">An online questionnaire was devised to survey students who were in at least their second year of a mathematically demanding degree. Students who had taken AS- or A-level </w:t>
      </w:r>
      <w:r w:rsidR="002931E5" w:rsidRPr="00A3776F">
        <w:rPr>
          <w:rFonts w:ascii="Verdana" w:hAnsi="Verdana"/>
          <w:sz w:val="20"/>
          <w:szCs w:val="20"/>
        </w:rPr>
        <w:t>Maths</w:t>
      </w:r>
      <w:r w:rsidRPr="00A3776F">
        <w:rPr>
          <w:rFonts w:ascii="Verdana" w:hAnsi="Verdana"/>
          <w:sz w:val="20"/>
          <w:szCs w:val="20"/>
        </w:rPr>
        <w:t xml:space="preserve"> and/or Further </w:t>
      </w:r>
      <w:r w:rsidR="002931E5" w:rsidRPr="00A3776F">
        <w:rPr>
          <w:rFonts w:ascii="Verdana" w:hAnsi="Verdana"/>
          <w:sz w:val="20"/>
          <w:szCs w:val="20"/>
        </w:rPr>
        <w:t>Maths</w:t>
      </w:r>
      <w:r w:rsidRPr="00A3776F">
        <w:rPr>
          <w:rFonts w:ascii="Verdana" w:hAnsi="Verdana"/>
          <w:sz w:val="20"/>
          <w:szCs w:val="20"/>
        </w:rPr>
        <w:t xml:space="preserve"> were contacted via their universities and asked to take part in the questionnaire which asked questions regarding:</w:t>
      </w:r>
    </w:p>
    <w:p w:rsidR="00397604" w:rsidRPr="00A3776F" w:rsidRDefault="00F46D48" w:rsidP="00397604">
      <w:pPr>
        <w:pStyle w:val="ListParagraph"/>
        <w:numPr>
          <w:ilvl w:val="0"/>
          <w:numId w:val="4"/>
        </w:numPr>
        <w:rPr>
          <w:rFonts w:ascii="Verdana" w:hAnsi="Verdana"/>
          <w:sz w:val="20"/>
          <w:szCs w:val="20"/>
        </w:rPr>
      </w:pPr>
      <w:r w:rsidRPr="00A3776F">
        <w:rPr>
          <w:rFonts w:ascii="Verdana" w:hAnsi="Verdana"/>
          <w:sz w:val="20"/>
          <w:szCs w:val="20"/>
        </w:rPr>
        <w:t xml:space="preserve">Students’ backgrounds: Gender, university, degree, year, </w:t>
      </w:r>
      <w:r w:rsidR="00EB4338" w:rsidRPr="00A3776F">
        <w:rPr>
          <w:rFonts w:ascii="Verdana" w:hAnsi="Verdana"/>
          <w:sz w:val="20"/>
          <w:szCs w:val="20"/>
        </w:rPr>
        <w:t>attainment</w:t>
      </w:r>
      <w:r w:rsidRPr="00A3776F">
        <w:rPr>
          <w:rFonts w:ascii="Verdana" w:hAnsi="Verdana"/>
          <w:sz w:val="20"/>
          <w:szCs w:val="20"/>
        </w:rPr>
        <w:t>, entry requirements</w:t>
      </w:r>
    </w:p>
    <w:p w:rsidR="00F46D48" w:rsidRPr="00A3776F" w:rsidRDefault="00F46D48" w:rsidP="00397604">
      <w:pPr>
        <w:pStyle w:val="ListParagraph"/>
        <w:numPr>
          <w:ilvl w:val="0"/>
          <w:numId w:val="4"/>
        </w:numPr>
        <w:rPr>
          <w:rFonts w:ascii="Verdana" w:hAnsi="Verdana"/>
          <w:sz w:val="20"/>
          <w:szCs w:val="20"/>
        </w:rPr>
      </w:pPr>
      <w:r w:rsidRPr="00A3776F">
        <w:rPr>
          <w:rFonts w:ascii="Verdana" w:hAnsi="Verdana"/>
          <w:sz w:val="20"/>
          <w:szCs w:val="20"/>
        </w:rPr>
        <w:t>A-levels: Year taken, grades, optional units</w:t>
      </w:r>
    </w:p>
    <w:p w:rsidR="00F46D48" w:rsidRPr="00A3776F" w:rsidRDefault="00F46D48" w:rsidP="00397604">
      <w:pPr>
        <w:pStyle w:val="ListParagraph"/>
        <w:numPr>
          <w:ilvl w:val="0"/>
          <w:numId w:val="4"/>
        </w:numPr>
        <w:rPr>
          <w:rFonts w:ascii="Verdana" w:hAnsi="Verdana"/>
          <w:sz w:val="20"/>
          <w:szCs w:val="20"/>
        </w:rPr>
      </w:pPr>
      <w:r w:rsidRPr="00A3776F">
        <w:rPr>
          <w:rFonts w:ascii="Verdana" w:hAnsi="Verdana"/>
          <w:sz w:val="20"/>
          <w:szCs w:val="20"/>
        </w:rPr>
        <w:t xml:space="preserve">Students’ perceptions of the </w:t>
      </w:r>
      <w:r w:rsidR="00EB4338" w:rsidRPr="00A3776F">
        <w:rPr>
          <w:rFonts w:ascii="Verdana" w:hAnsi="Verdana"/>
          <w:sz w:val="20"/>
          <w:szCs w:val="20"/>
        </w:rPr>
        <w:t xml:space="preserve">usefulness </w:t>
      </w:r>
      <w:r w:rsidRPr="00A3776F">
        <w:rPr>
          <w:rFonts w:ascii="Verdana" w:hAnsi="Verdana"/>
          <w:sz w:val="20"/>
          <w:szCs w:val="20"/>
        </w:rPr>
        <w:t xml:space="preserve">of AS- or A-level </w:t>
      </w:r>
      <w:r w:rsidR="002931E5" w:rsidRPr="00A3776F">
        <w:rPr>
          <w:rFonts w:ascii="Verdana" w:hAnsi="Verdana"/>
          <w:sz w:val="20"/>
          <w:szCs w:val="20"/>
        </w:rPr>
        <w:t>Maths</w:t>
      </w:r>
      <w:r w:rsidRPr="00A3776F">
        <w:rPr>
          <w:rFonts w:ascii="Verdana" w:hAnsi="Verdana"/>
          <w:sz w:val="20"/>
          <w:szCs w:val="20"/>
        </w:rPr>
        <w:t xml:space="preserve"> and/or Further </w:t>
      </w:r>
      <w:r w:rsidR="002931E5" w:rsidRPr="00A3776F">
        <w:rPr>
          <w:rFonts w:ascii="Verdana" w:hAnsi="Verdana"/>
          <w:sz w:val="20"/>
          <w:szCs w:val="20"/>
        </w:rPr>
        <w:t>Maths</w:t>
      </w:r>
      <w:r w:rsidRPr="00A3776F">
        <w:rPr>
          <w:rFonts w:ascii="Verdana" w:hAnsi="Verdana"/>
          <w:sz w:val="20"/>
          <w:szCs w:val="20"/>
        </w:rPr>
        <w:t xml:space="preserve"> and any extension papers</w:t>
      </w:r>
    </w:p>
    <w:p w:rsidR="004E77F5" w:rsidRPr="00A3776F" w:rsidRDefault="00DB33D1" w:rsidP="004E77F5">
      <w:pPr>
        <w:rPr>
          <w:rFonts w:ascii="Verdana" w:hAnsi="Verdana"/>
          <w:sz w:val="20"/>
          <w:szCs w:val="20"/>
        </w:rPr>
      </w:pPr>
      <w:r w:rsidRPr="00A3776F">
        <w:rPr>
          <w:rFonts w:ascii="Verdana" w:hAnsi="Verdana"/>
          <w:sz w:val="20"/>
          <w:szCs w:val="20"/>
        </w:rPr>
        <w:t xml:space="preserve">All UK university departments of relevant disciplines were contacted via email, meaning that a wide range of university types are included in the sample. </w:t>
      </w:r>
      <w:r w:rsidR="00EB4338" w:rsidRPr="00A3776F">
        <w:rPr>
          <w:rFonts w:ascii="Verdana" w:hAnsi="Verdana"/>
          <w:sz w:val="20"/>
          <w:szCs w:val="20"/>
        </w:rPr>
        <w:t xml:space="preserve">Over 4,000 responses were collected. </w:t>
      </w:r>
      <w:r w:rsidRPr="00A3776F">
        <w:rPr>
          <w:rFonts w:ascii="Verdana" w:hAnsi="Verdana"/>
          <w:sz w:val="20"/>
          <w:szCs w:val="20"/>
        </w:rPr>
        <w:t xml:space="preserve">However, it should be noted that for many degree subjects, it is not ‘the norm’ for most students to have taken A-level Maths (e.g. Geography, Psychology, Architecture) and as such the responses to the questionnaire are not representative of the whole student cohort of some subjects. A-level Maths is always required of students of Maths, Engineering and Physics. </w:t>
      </w:r>
    </w:p>
    <w:p w:rsidR="00663FE2" w:rsidRPr="00A3776F" w:rsidRDefault="00663FE2" w:rsidP="00663FE2">
      <w:pPr>
        <w:pStyle w:val="Heading1"/>
        <w:rPr>
          <w:rFonts w:ascii="Verdana" w:hAnsi="Verdana"/>
          <w:color w:val="auto"/>
          <w:sz w:val="24"/>
          <w:szCs w:val="24"/>
        </w:rPr>
      </w:pPr>
      <w:r w:rsidRPr="00A3776F">
        <w:rPr>
          <w:rFonts w:ascii="Verdana" w:hAnsi="Verdana"/>
          <w:color w:val="auto"/>
          <w:sz w:val="24"/>
          <w:szCs w:val="24"/>
        </w:rPr>
        <w:lastRenderedPageBreak/>
        <w:t>3. Findings</w:t>
      </w:r>
    </w:p>
    <w:p w:rsidR="00363B7F" w:rsidRPr="00A3776F" w:rsidRDefault="00363B7F" w:rsidP="00363B7F">
      <w:pPr>
        <w:pStyle w:val="Heading2"/>
        <w:rPr>
          <w:rFonts w:ascii="Verdana" w:hAnsi="Verdana"/>
          <w:color w:val="auto"/>
          <w:sz w:val="18"/>
          <w:szCs w:val="20"/>
        </w:rPr>
      </w:pPr>
      <w:r w:rsidRPr="00A3776F">
        <w:rPr>
          <w:rFonts w:ascii="Verdana" w:hAnsi="Verdana"/>
          <w:color w:val="auto"/>
          <w:sz w:val="18"/>
          <w:szCs w:val="20"/>
        </w:rPr>
        <w:t xml:space="preserve">3.1 Which optional units in A-level </w:t>
      </w:r>
      <w:r w:rsidR="002931E5" w:rsidRPr="00A3776F">
        <w:rPr>
          <w:rFonts w:ascii="Verdana" w:hAnsi="Verdana"/>
          <w:color w:val="auto"/>
          <w:sz w:val="18"/>
          <w:szCs w:val="20"/>
        </w:rPr>
        <w:t>Maths</w:t>
      </w:r>
      <w:r w:rsidRPr="00A3776F">
        <w:rPr>
          <w:rFonts w:ascii="Verdana" w:hAnsi="Verdana"/>
          <w:color w:val="auto"/>
          <w:sz w:val="18"/>
          <w:szCs w:val="20"/>
        </w:rPr>
        <w:t xml:space="preserve"> and/or Further </w:t>
      </w:r>
      <w:r w:rsidR="002931E5" w:rsidRPr="00A3776F">
        <w:rPr>
          <w:rFonts w:ascii="Verdana" w:hAnsi="Verdana"/>
          <w:color w:val="auto"/>
          <w:sz w:val="18"/>
          <w:szCs w:val="20"/>
        </w:rPr>
        <w:t>Maths</w:t>
      </w:r>
      <w:r w:rsidRPr="00A3776F">
        <w:rPr>
          <w:rFonts w:ascii="Verdana" w:hAnsi="Verdana"/>
          <w:color w:val="auto"/>
          <w:sz w:val="18"/>
          <w:szCs w:val="20"/>
        </w:rPr>
        <w:t xml:space="preserve"> do undergraduates find useful as preparation for their degree?</w:t>
      </w:r>
    </w:p>
    <w:p w:rsidR="00363B7F" w:rsidRPr="00A3776F" w:rsidRDefault="00363B7F" w:rsidP="00363B7F">
      <w:pPr>
        <w:rPr>
          <w:rFonts w:ascii="Verdana" w:hAnsi="Verdana"/>
          <w:sz w:val="20"/>
          <w:szCs w:val="20"/>
        </w:rPr>
      </w:pPr>
      <w:r w:rsidRPr="00A3776F">
        <w:rPr>
          <w:rFonts w:ascii="Verdana" w:hAnsi="Verdana"/>
          <w:sz w:val="20"/>
          <w:szCs w:val="20"/>
        </w:rPr>
        <w:t>The answer to this question varied according to students’ degrees. Specifically, the following optional units were found to be particularly beneficial for the following degree subjects:</w:t>
      </w:r>
    </w:p>
    <w:p w:rsidR="00363B7F" w:rsidRPr="00A3776F" w:rsidRDefault="00363B7F" w:rsidP="00363B7F">
      <w:pPr>
        <w:pStyle w:val="ListParagraph"/>
        <w:numPr>
          <w:ilvl w:val="0"/>
          <w:numId w:val="7"/>
        </w:numPr>
        <w:rPr>
          <w:rFonts w:ascii="Verdana" w:hAnsi="Verdana"/>
          <w:sz w:val="20"/>
          <w:szCs w:val="20"/>
        </w:rPr>
      </w:pPr>
      <w:r w:rsidRPr="00A3776F">
        <w:rPr>
          <w:rFonts w:ascii="Verdana" w:hAnsi="Verdana"/>
          <w:b/>
          <w:sz w:val="20"/>
          <w:szCs w:val="20"/>
        </w:rPr>
        <w:t>Statistics</w:t>
      </w:r>
      <w:r w:rsidRPr="00A3776F">
        <w:rPr>
          <w:rFonts w:ascii="Verdana" w:hAnsi="Verdana"/>
          <w:sz w:val="20"/>
          <w:szCs w:val="20"/>
        </w:rPr>
        <w:t>: Business and Finance, Bioscience, Economics, Geography, Medicine, Psychology</w:t>
      </w:r>
    </w:p>
    <w:p w:rsidR="00363B7F" w:rsidRPr="00A3776F" w:rsidRDefault="00363B7F" w:rsidP="00363B7F">
      <w:pPr>
        <w:pStyle w:val="ListParagraph"/>
        <w:numPr>
          <w:ilvl w:val="0"/>
          <w:numId w:val="7"/>
        </w:numPr>
        <w:rPr>
          <w:rFonts w:ascii="Verdana" w:hAnsi="Verdana"/>
          <w:sz w:val="20"/>
          <w:szCs w:val="20"/>
        </w:rPr>
      </w:pPr>
      <w:r w:rsidRPr="00A3776F">
        <w:rPr>
          <w:rFonts w:ascii="Verdana" w:hAnsi="Verdana"/>
          <w:b/>
          <w:sz w:val="20"/>
          <w:szCs w:val="20"/>
        </w:rPr>
        <w:t>Mechanics</w:t>
      </w:r>
      <w:r w:rsidRPr="00A3776F">
        <w:rPr>
          <w:rFonts w:ascii="Verdana" w:hAnsi="Verdana"/>
          <w:sz w:val="20"/>
          <w:szCs w:val="20"/>
        </w:rPr>
        <w:t>: Architecture, Engineering, Physics</w:t>
      </w:r>
    </w:p>
    <w:p w:rsidR="00363B7F" w:rsidRPr="00A3776F" w:rsidRDefault="00363B7F" w:rsidP="00363B7F">
      <w:pPr>
        <w:pStyle w:val="ListParagraph"/>
        <w:numPr>
          <w:ilvl w:val="0"/>
          <w:numId w:val="7"/>
        </w:numPr>
        <w:rPr>
          <w:rFonts w:ascii="Verdana" w:hAnsi="Verdana"/>
          <w:sz w:val="20"/>
          <w:szCs w:val="20"/>
        </w:rPr>
      </w:pPr>
      <w:r w:rsidRPr="00A3776F">
        <w:rPr>
          <w:rFonts w:ascii="Verdana" w:hAnsi="Verdana"/>
          <w:b/>
          <w:sz w:val="20"/>
          <w:szCs w:val="20"/>
        </w:rPr>
        <w:t xml:space="preserve">Decision </w:t>
      </w:r>
      <w:r w:rsidR="002931E5" w:rsidRPr="00A3776F">
        <w:rPr>
          <w:rFonts w:ascii="Verdana" w:hAnsi="Verdana"/>
          <w:b/>
          <w:sz w:val="20"/>
          <w:szCs w:val="20"/>
        </w:rPr>
        <w:t>Maths</w:t>
      </w:r>
      <w:r w:rsidRPr="00A3776F">
        <w:rPr>
          <w:rFonts w:ascii="Verdana" w:hAnsi="Verdana"/>
          <w:sz w:val="20"/>
          <w:szCs w:val="20"/>
        </w:rPr>
        <w:t>: Computer Science</w:t>
      </w:r>
    </w:p>
    <w:p w:rsidR="00363B7F" w:rsidRPr="00A3776F" w:rsidRDefault="00363B7F" w:rsidP="00363B7F">
      <w:pPr>
        <w:pStyle w:val="ListParagraph"/>
        <w:numPr>
          <w:ilvl w:val="0"/>
          <w:numId w:val="7"/>
        </w:numPr>
        <w:rPr>
          <w:rFonts w:ascii="Verdana" w:hAnsi="Verdana"/>
          <w:sz w:val="20"/>
          <w:szCs w:val="20"/>
        </w:rPr>
      </w:pPr>
      <w:r w:rsidRPr="00A3776F">
        <w:rPr>
          <w:rFonts w:ascii="Verdana" w:hAnsi="Verdana"/>
          <w:b/>
          <w:sz w:val="20"/>
          <w:szCs w:val="20"/>
        </w:rPr>
        <w:t xml:space="preserve">Further Pure </w:t>
      </w:r>
      <w:r w:rsidR="002931E5" w:rsidRPr="00A3776F">
        <w:rPr>
          <w:rFonts w:ascii="Verdana" w:hAnsi="Verdana"/>
          <w:b/>
          <w:sz w:val="20"/>
          <w:szCs w:val="20"/>
        </w:rPr>
        <w:t>Maths</w:t>
      </w:r>
      <w:r w:rsidRPr="00A3776F">
        <w:rPr>
          <w:rFonts w:ascii="Verdana" w:hAnsi="Verdana"/>
          <w:sz w:val="20"/>
          <w:szCs w:val="20"/>
        </w:rPr>
        <w:t xml:space="preserve">: Chemistry, </w:t>
      </w:r>
      <w:r w:rsidR="002931E5" w:rsidRPr="00A3776F">
        <w:rPr>
          <w:rFonts w:ascii="Verdana" w:hAnsi="Verdana"/>
          <w:sz w:val="20"/>
          <w:szCs w:val="20"/>
        </w:rPr>
        <w:t>Maths</w:t>
      </w:r>
    </w:p>
    <w:p w:rsidR="00363B7F" w:rsidRPr="00A3776F" w:rsidRDefault="00363B7F" w:rsidP="00363B7F">
      <w:pPr>
        <w:rPr>
          <w:rFonts w:ascii="Verdana" w:hAnsi="Verdana"/>
          <w:sz w:val="20"/>
          <w:szCs w:val="20"/>
        </w:rPr>
      </w:pPr>
      <w:r w:rsidRPr="00A3776F">
        <w:rPr>
          <w:rFonts w:ascii="Verdana" w:hAnsi="Verdana"/>
          <w:sz w:val="20"/>
          <w:szCs w:val="20"/>
        </w:rPr>
        <w:t xml:space="preserve">This suggests that the specialisation afforded by the pre-2017 A-levels was beneficial for students of certain subjects. Additionally, the option of studying Decision </w:t>
      </w:r>
      <w:r w:rsidR="002931E5" w:rsidRPr="00A3776F">
        <w:rPr>
          <w:rFonts w:ascii="Verdana" w:hAnsi="Verdana"/>
          <w:sz w:val="20"/>
          <w:szCs w:val="20"/>
        </w:rPr>
        <w:t>Maths</w:t>
      </w:r>
      <w:r w:rsidRPr="00A3776F">
        <w:rPr>
          <w:rFonts w:ascii="Verdana" w:hAnsi="Verdana"/>
          <w:sz w:val="20"/>
          <w:szCs w:val="20"/>
        </w:rPr>
        <w:t xml:space="preserve"> was useful for prospective Computer Science undergraduates.</w:t>
      </w:r>
    </w:p>
    <w:p w:rsidR="00363B7F" w:rsidRPr="00A3776F" w:rsidRDefault="00363B7F" w:rsidP="00363B7F">
      <w:pPr>
        <w:pStyle w:val="Heading2"/>
        <w:rPr>
          <w:rFonts w:ascii="Verdana" w:hAnsi="Verdana"/>
          <w:color w:val="auto"/>
          <w:sz w:val="18"/>
          <w:szCs w:val="20"/>
        </w:rPr>
      </w:pPr>
      <w:r w:rsidRPr="00A3776F">
        <w:rPr>
          <w:rFonts w:ascii="Verdana" w:hAnsi="Verdana"/>
          <w:color w:val="auto"/>
          <w:sz w:val="18"/>
          <w:szCs w:val="20"/>
        </w:rPr>
        <w:t xml:space="preserve">3.2 Do students who took A-level </w:t>
      </w:r>
      <w:r w:rsidR="002931E5" w:rsidRPr="00A3776F">
        <w:rPr>
          <w:rFonts w:ascii="Verdana" w:hAnsi="Verdana"/>
          <w:color w:val="auto"/>
          <w:sz w:val="18"/>
          <w:szCs w:val="20"/>
        </w:rPr>
        <w:t>Maths</w:t>
      </w:r>
      <w:r w:rsidRPr="00A3776F">
        <w:rPr>
          <w:rFonts w:ascii="Verdana" w:hAnsi="Verdana"/>
          <w:color w:val="auto"/>
          <w:sz w:val="18"/>
          <w:szCs w:val="20"/>
        </w:rPr>
        <w:t xml:space="preserve"> and/or Further </w:t>
      </w:r>
      <w:r w:rsidR="002931E5" w:rsidRPr="00A3776F">
        <w:rPr>
          <w:rFonts w:ascii="Verdana" w:hAnsi="Verdana"/>
          <w:color w:val="auto"/>
          <w:sz w:val="18"/>
          <w:szCs w:val="20"/>
        </w:rPr>
        <w:t>Maths</w:t>
      </w:r>
      <w:r w:rsidRPr="00A3776F">
        <w:rPr>
          <w:rFonts w:ascii="Verdana" w:hAnsi="Verdana"/>
          <w:color w:val="auto"/>
          <w:sz w:val="18"/>
          <w:szCs w:val="20"/>
        </w:rPr>
        <w:t xml:space="preserve"> believe the qualifications to be useful preparation for their degree?</w:t>
      </w:r>
    </w:p>
    <w:p w:rsidR="00131000" w:rsidRPr="00A3776F" w:rsidRDefault="00131000" w:rsidP="00131000">
      <w:pPr>
        <w:rPr>
          <w:rFonts w:ascii="Verdana" w:hAnsi="Verdana"/>
          <w:sz w:val="20"/>
          <w:szCs w:val="20"/>
        </w:rPr>
      </w:pPr>
      <w:r w:rsidRPr="00A3776F">
        <w:rPr>
          <w:rFonts w:ascii="Verdana" w:hAnsi="Verdana"/>
          <w:sz w:val="20"/>
          <w:szCs w:val="20"/>
        </w:rPr>
        <w:t xml:space="preserve">For students of all subject areas, the majority described AS- or A-level </w:t>
      </w:r>
      <w:r w:rsidR="002931E5" w:rsidRPr="00A3776F">
        <w:rPr>
          <w:rFonts w:ascii="Verdana" w:hAnsi="Verdana"/>
          <w:sz w:val="20"/>
          <w:szCs w:val="20"/>
        </w:rPr>
        <w:t>Maths</w:t>
      </w:r>
      <w:r w:rsidRPr="00A3776F">
        <w:rPr>
          <w:rFonts w:ascii="Verdana" w:hAnsi="Verdana"/>
          <w:sz w:val="20"/>
          <w:szCs w:val="20"/>
        </w:rPr>
        <w:t xml:space="preserve"> as useful preparation for their degree (see Figure</w:t>
      </w:r>
      <w:r w:rsidR="00DB33D1" w:rsidRPr="00A3776F">
        <w:rPr>
          <w:rFonts w:ascii="Verdana" w:hAnsi="Verdana"/>
          <w:sz w:val="20"/>
          <w:szCs w:val="20"/>
        </w:rPr>
        <w:t xml:space="preserve"> 2</w:t>
      </w:r>
      <w:r w:rsidRPr="00A3776F">
        <w:rPr>
          <w:rFonts w:ascii="Verdana" w:hAnsi="Verdana"/>
          <w:sz w:val="20"/>
          <w:szCs w:val="20"/>
        </w:rPr>
        <w:t>).</w:t>
      </w:r>
    </w:p>
    <w:p w:rsidR="00131000" w:rsidRPr="00A3776F" w:rsidRDefault="00363B7F" w:rsidP="00DB33D1">
      <w:pPr>
        <w:spacing w:after="0"/>
        <w:rPr>
          <w:rFonts w:ascii="Verdana" w:hAnsi="Verdana"/>
          <w:sz w:val="20"/>
          <w:szCs w:val="20"/>
        </w:rPr>
      </w:pPr>
      <w:r w:rsidRPr="00A3776F">
        <w:rPr>
          <w:rFonts w:ascii="Verdana" w:hAnsi="Verdana"/>
          <w:noProof/>
          <w:sz w:val="20"/>
          <w:szCs w:val="20"/>
          <w:lang w:eastAsia="en-GB"/>
        </w:rPr>
        <w:drawing>
          <wp:inline distT="0" distB="0" distL="0" distR="0" wp14:anchorId="5436AD2F" wp14:editId="509ED1EB">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33D1" w:rsidRPr="00A3776F" w:rsidRDefault="00DB33D1" w:rsidP="00363B7F">
      <w:pPr>
        <w:rPr>
          <w:rFonts w:ascii="Verdana" w:hAnsi="Verdana"/>
          <w:i/>
          <w:sz w:val="20"/>
          <w:szCs w:val="20"/>
        </w:rPr>
      </w:pPr>
      <w:r w:rsidRPr="00A3776F">
        <w:rPr>
          <w:rFonts w:ascii="Verdana" w:hAnsi="Verdana"/>
          <w:i/>
          <w:sz w:val="20"/>
          <w:szCs w:val="20"/>
        </w:rPr>
        <w:t xml:space="preserve">Figure 2 </w:t>
      </w:r>
      <w:r w:rsidR="00B04B96" w:rsidRPr="00A3776F">
        <w:rPr>
          <w:rFonts w:ascii="Verdana" w:hAnsi="Verdana"/>
          <w:i/>
          <w:sz w:val="20"/>
          <w:szCs w:val="20"/>
        </w:rPr>
        <w:t>–</w:t>
      </w:r>
      <w:r w:rsidRPr="00A3776F">
        <w:rPr>
          <w:rFonts w:ascii="Verdana" w:hAnsi="Verdana"/>
          <w:i/>
          <w:sz w:val="20"/>
          <w:szCs w:val="20"/>
        </w:rPr>
        <w:t xml:space="preserve"> Participants</w:t>
      </w:r>
      <w:r w:rsidR="00B04B96" w:rsidRPr="00A3776F">
        <w:rPr>
          <w:rFonts w:ascii="Verdana" w:hAnsi="Verdana"/>
          <w:i/>
          <w:sz w:val="20"/>
          <w:szCs w:val="20"/>
        </w:rPr>
        <w:t>’</w:t>
      </w:r>
      <w:r w:rsidRPr="00A3776F">
        <w:rPr>
          <w:rFonts w:ascii="Verdana" w:hAnsi="Verdana"/>
          <w:i/>
          <w:sz w:val="20"/>
          <w:szCs w:val="20"/>
        </w:rPr>
        <w:t xml:space="preserve"> </w:t>
      </w:r>
      <w:r w:rsidR="00B04B96" w:rsidRPr="00A3776F">
        <w:rPr>
          <w:rFonts w:ascii="Verdana" w:hAnsi="Verdana"/>
          <w:i/>
          <w:sz w:val="20"/>
          <w:szCs w:val="20"/>
        </w:rPr>
        <w:t xml:space="preserve">(by degree subject) </w:t>
      </w:r>
      <w:r w:rsidRPr="00A3776F">
        <w:rPr>
          <w:rFonts w:ascii="Verdana" w:hAnsi="Verdana"/>
          <w:i/>
          <w:sz w:val="20"/>
          <w:szCs w:val="20"/>
        </w:rPr>
        <w:t>perceptions of AS- or A-level Maths as preparation for the mathematical demands of their degree</w:t>
      </w:r>
    </w:p>
    <w:p w:rsidR="001A52BE" w:rsidRPr="00A3776F" w:rsidRDefault="00131000" w:rsidP="00363B7F">
      <w:pPr>
        <w:rPr>
          <w:rFonts w:ascii="Verdana" w:hAnsi="Verdana"/>
          <w:sz w:val="20"/>
          <w:szCs w:val="20"/>
        </w:rPr>
      </w:pPr>
      <w:r w:rsidRPr="00A3776F">
        <w:rPr>
          <w:rFonts w:ascii="Verdana" w:hAnsi="Verdana"/>
          <w:sz w:val="20"/>
          <w:szCs w:val="20"/>
        </w:rPr>
        <w:t xml:space="preserve">Whilst students of </w:t>
      </w:r>
      <w:r w:rsidR="001A52BE" w:rsidRPr="00A3776F">
        <w:rPr>
          <w:rFonts w:ascii="Verdana" w:hAnsi="Verdana"/>
          <w:sz w:val="20"/>
          <w:szCs w:val="20"/>
        </w:rPr>
        <w:t xml:space="preserve">the most mathematically-demanding degrees, as well as those which higher-ranking universities usually make A-level </w:t>
      </w:r>
      <w:r w:rsidR="002931E5" w:rsidRPr="00A3776F">
        <w:rPr>
          <w:rFonts w:ascii="Verdana" w:hAnsi="Verdana"/>
          <w:sz w:val="20"/>
          <w:szCs w:val="20"/>
        </w:rPr>
        <w:t>Maths</w:t>
      </w:r>
      <w:r w:rsidR="001A52BE" w:rsidRPr="00A3776F">
        <w:rPr>
          <w:rFonts w:ascii="Verdana" w:hAnsi="Verdana"/>
          <w:sz w:val="20"/>
          <w:szCs w:val="20"/>
        </w:rPr>
        <w:t xml:space="preserve"> an entry requirement, </w:t>
      </w:r>
      <w:r w:rsidRPr="00A3776F">
        <w:rPr>
          <w:rFonts w:ascii="Verdana" w:hAnsi="Verdana"/>
          <w:sz w:val="20"/>
          <w:szCs w:val="20"/>
        </w:rPr>
        <w:t xml:space="preserve">overwhelmingly reported that Further </w:t>
      </w:r>
      <w:r w:rsidR="002931E5" w:rsidRPr="00A3776F">
        <w:rPr>
          <w:rFonts w:ascii="Verdana" w:hAnsi="Verdana"/>
          <w:sz w:val="20"/>
          <w:szCs w:val="20"/>
        </w:rPr>
        <w:t>Maths</w:t>
      </w:r>
      <w:r w:rsidRPr="00A3776F">
        <w:rPr>
          <w:rFonts w:ascii="Verdana" w:hAnsi="Verdana"/>
          <w:sz w:val="20"/>
          <w:szCs w:val="20"/>
        </w:rPr>
        <w:t xml:space="preserve"> had been useful preparation for their degree, the converse was true for students of other subjects</w:t>
      </w:r>
      <w:r w:rsidR="00257641" w:rsidRPr="00A3776F">
        <w:rPr>
          <w:rFonts w:ascii="Verdana" w:hAnsi="Verdana"/>
          <w:sz w:val="20"/>
          <w:szCs w:val="20"/>
        </w:rPr>
        <w:t xml:space="preserve"> (see Figure 3)</w:t>
      </w:r>
      <w:r w:rsidRPr="00A3776F">
        <w:rPr>
          <w:rFonts w:ascii="Verdana" w:hAnsi="Verdana"/>
          <w:sz w:val="20"/>
          <w:szCs w:val="20"/>
        </w:rPr>
        <w:t xml:space="preserve">. </w:t>
      </w:r>
    </w:p>
    <w:p w:rsidR="00363B7F" w:rsidRPr="00A3776F" w:rsidRDefault="00257641" w:rsidP="00363B7F">
      <w:pPr>
        <w:rPr>
          <w:rFonts w:ascii="Verdana" w:hAnsi="Verdana"/>
          <w:sz w:val="20"/>
          <w:szCs w:val="20"/>
        </w:rPr>
      </w:pPr>
      <w:r w:rsidRPr="00A3776F">
        <w:rPr>
          <w:rFonts w:ascii="Verdana" w:hAnsi="Verdana"/>
          <w:sz w:val="20"/>
          <w:szCs w:val="20"/>
        </w:rPr>
        <w:t>S</w:t>
      </w:r>
      <w:r w:rsidR="001A52BE" w:rsidRPr="00A3776F">
        <w:rPr>
          <w:rFonts w:ascii="Verdana" w:hAnsi="Verdana"/>
          <w:sz w:val="20"/>
          <w:szCs w:val="20"/>
        </w:rPr>
        <w:t xml:space="preserve">tudents who found Statistics units to be the most beneficial preparation for their degree were </w:t>
      </w:r>
      <w:r w:rsidRPr="00A3776F">
        <w:rPr>
          <w:rFonts w:ascii="Verdana" w:hAnsi="Verdana"/>
          <w:sz w:val="20"/>
          <w:szCs w:val="20"/>
        </w:rPr>
        <w:t xml:space="preserve">usually least </w:t>
      </w:r>
      <w:r w:rsidR="001A52BE" w:rsidRPr="00A3776F">
        <w:rPr>
          <w:rFonts w:ascii="Verdana" w:hAnsi="Verdana"/>
          <w:sz w:val="20"/>
          <w:szCs w:val="20"/>
        </w:rPr>
        <w:t xml:space="preserve">likely to describe Further </w:t>
      </w:r>
      <w:r w:rsidR="002931E5" w:rsidRPr="00A3776F">
        <w:rPr>
          <w:rFonts w:ascii="Verdana" w:hAnsi="Verdana"/>
          <w:sz w:val="20"/>
          <w:szCs w:val="20"/>
        </w:rPr>
        <w:t>Maths</w:t>
      </w:r>
      <w:r w:rsidR="001A52BE" w:rsidRPr="00A3776F">
        <w:rPr>
          <w:rFonts w:ascii="Verdana" w:hAnsi="Verdana"/>
          <w:sz w:val="20"/>
          <w:szCs w:val="20"/>
        </w:rPr>
        <w:t xml:space="preserve"> as good preparation for their degree. </w:t>
      </w:r>
    </w:p>
    <w:p w:rsidR="00363B7F" w:rsidRPr="00A3776F" w:rsidRDefault="00131000" w:rsidP="00DB33D1">
      <w:pPr>
        <w:spacing w:after="0"/>
        <w:rPr>
          <w:rFonts w:ascii="Verdana" w:hAnsi="Verdana"/>
          <w:sz w:val="20"/>
          <w:szCs w:val="20"/>
        </w:rPr>
      </w:pPr>
      <w:r w:rsidRPr="00A3776F">
        <w:rPr>
          <w:rFonts w:ascii="Verdana" w:hAnsi="Verdana"/>
          <w:noProof/>
          <w:sz w:val="20"/>
          <w:szCs w:val="20"/>
          <w:lang w:eastAsia="en-GB"/>
        </w:rPr>
        <w:lastRenderedPageBreak/>
        <w:drawing>
          <wp:inline distT="0" distB="0" distL="0" distR="0" wp14:anchorId="77E80926" wp14:editId="1BB3DC69">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33D1" w:rsidRPr="00A3776F" w:rsidRDefault="00DB33D1" w:rsidP="00DB33D1">
      <w:pPr>
        <w:rPr>
          <w:rFonts w:ascii="Verdana" w:hAnsi="Verdana"/>
          <w:i/>
          <w:sz w:val="20"/>
          <w:szCs w:val="20"/>
        </w:rPr>
      </w:pPr>
      <w:r w:rsidRPr="00A3776F">
        <w:rPr>
          <w:rFonts w:ascii="Verdana" w:hAnsi="Verdana"/>
          <w:i/>
          <w:sz w:val="20"/>
          <w:szCs w:val="20"/>
        </w:rPr>
        <w:t xml:space="preserve">Figure 3 </w:t>
      </w:r>
      <w:r w:rsidR="00B04B96" w:rsidRPr="00A3776F">
        <w:rPr>
          <w:rFonts w:ascii="Verdana" w:hAnsi="Verdana"/>
          <w:i/>
          <w:sz w:val="20"/>
          <w:szCs w:val="20"/>
        </w:rPr>
        <w:t>–</w:t>
      </w:r>
      <w:r w:rsidRPr="00A3776F">
        <w:rPr>
          <w:rFonts w:ascii="Verdana" w:hAnsi="Verdana"/>
          <w:i/>
          <w:sz w:val="20"/>
          <w:szCs w:val="20"/>
        </w:rPr>
        <w:t xml:space="preserve"> Participants</w:t>
      </w:r>
      <w:r w:rsidR="00B04B96" w:rsidRPr="00A3776F">
        <w:rPr>
          <w:rFonts w:ascii="Verdana" w:hAnsi="Verdana"/>
          <w:i/>
          <w:sz w:val="20"/>
          <w:szCs w:val="20"/>
        </w:rPr>
        <w:t>’</w:t>
      </w:r>
      <w:r w:rsidRPr="00A3776F">
        <w:rPr>
          <w:rFonts w:ascii="Verdana" w:hAnsi="Verdana"/>
          <w:i/>
          <w:sz w:val="20"/>
          <w:szCs w:val="20"/>
        </w:rPr>
        <w:t xml:space="preserve"> perceptions</w:t>
      </w:r>
      <w:r w:rsidR="00B04B96" w:rsidRPr="00A3776F">
        <w:rPr>
          <w:rFonts w:ascii="Verdana" w:hAnsi="Verdana"/>
          <w:i/>
          <w:sz w:val="20"/>
          <w:szCs w:val="20"/>
        </w:rPr>
        <w:t xml:space="preserve"> (by degree subject)</w:t>
      </w:r>
      <w:r w:rsidRPr="00A3776F">
        <w:rPr>
          <w:rFonts w:ascii="Verdana" w:hAnsi="Verdana"/>
          <w:i/>
          <w:sz w:val="20"/>
          <w:szCs w:val="20"/>
        </w:rPr>
        <w:t xml:space="preserve"> of AS- or A-level Further Maths as preparation for the mathematical demands of their degree</w:t>
      </w:r>
    </w:p>
    <w:p w:rsidR="001A52BE" w:rsidRPr="00A3776F" w:rsidRDefault="001A52BE" w:rsidP="001A52BE">
      <w:pPr>
        <w:pStyle w:val="Heading2"/>
        <w:rPr>
          <w:rFonts w:ascii="Verdana" w:hAnsi="Verdana"/>
          <w:color w:val="auto"/>
          <w:sz w:val="18"/>
          <w:szCs w:val="20"/>
        </w:rPr>
      </w:pPr>
      <w:r w:rsidRPr="00A3776F">
        <w:rPr>
          <w:rFonts w:ascii="Verdana" w:hAnsi="Verdana"/>
          <w:color w:val="auto"/>
          <w:sz w:val="18"/>
          <w:szCs w:val="20"/>
        </w:rPr>
        <w:t xml:space="preserve">3.3 Are there any areas in which A-level </w:t>
      </w:r>
      <w:r w:rsidR="002931E5" w:rsidRPr="00A3776F">
        <w:rPr>
          <w:rFonts w:ascii="Verdana" w:hAnsi="Verdana"/>
          <w:color w:val="auto"/>
          <w:sz w:val="18"/>
          <w:szCs w:val="20"/>
        </w:rPr>
        <w:t>Maths</w:t>
      </w:r>
      <w:r w:rsidRPr="00A3776F">
        <w:rPr>
          <w:rFonts w:ascii="Verdana" w:hAnsi="Verdana"/>
          <w:color w:val="auto"/>
          <w:sz w:val="18"/>
          <w:szCs w:val="20"/>
        </w:rPr>
        <w:t xml:space="preserve"> and/or Further </w:t>
      </w:r>
      <w:r w:rsidR="002931E5" w:rsidRPr="00A3776F">
        <w:rPr>
          <w:rFonts w:ascii="Verdana" w:hAnsi="Verdana"/>
          <w:color w:val="auto"/>
          <w:sz w:val="18"/>
          <w:szCs w:val="20"/>
        </w:rPr>
        <w:t>Maths</w:t>
      </w:r>
      <w:r w:rsidRPr="00A3776F">
        <w:rPr>
          <w:rFonts w:ascii="Verdana" w:hAnsi="Verdana"/>
          <w:color w:val="auto"/>
          <w:sz w:val="18"/>
          <w:szCs w:val="20"/>
        </w:rPr>
        <w:t xml:space="preserve"> could be improved to suit the needs of future undergraduates?</w:t>
      </w:r>
    </w:p>
    <w:p w:rsidR="001A52BE" w:rsidRPr="00A3776F" w:rsidRDefault="001A52BE" w:rsidP="001A52BE">
      <w:pPr>
        <w:rPr>
          <w:rFonts w:ascii="Verdana" w:hAnsi="Verdana"/>
          <w:sz w:val="20"/>
          <w:szCs w:val="20"/>
        </w:rPr>
      </w:pPr>
      <w:r w:rsidRPr="00A3776F">
        <w:rPr>
          <w:rFonts w:ascii="Verdana" w:hAnsi="Verdana"/>
          <w:sz w:val="20"/>
          <w:szCs w:val="20"/>
        </w:rPr>
        <w:t>The most commonly-suggested changes for each subject area were as follows:</w:t>
      </w:r>
    </w:p>
    <w:p w:rsidR="001A52BE" w:rsidRPr="00A3776F" w:rsidRDefault="001A52BE" w:rsidP="001A52BE">
      <w:pPr>
        <w:pStyle w:val="ListParagraph"/>
        <w:numPr>
          <w:ilvl w:val="0"/>
          <w:numId w:val="9"/>
        </w:numPr>
        <w:rPr>
          <w:rFonts w:ascii="Verdana" w:hAnsi="Verdana"/>
          <w:sz w:val="20"/>
          <w:szCs w:val="20"/>
        </w:rPr>
      </w:pPr>
      <w:r w:rsidRPr="00A3776F">
        <w:rPr>
          <w:rFonts w:ascii="Verdana" w:hAnsi="Verdana"/>
          <w:b/>
          <w:sz w:val="20"/>
          <w:szCs w:val="20"/>
        </w:rPr>
        <w:t>Architecture</w:t>
      </w:r>
      <w:r w:rsidRPr="00A3776F">
        <w:rPr>
          <w:rFonts w:ascii="Verdana" w:hAnsi="Verdana"/>
          <w:sz w:val="20"/>
          <w:szCs w:val="20"/>
        </w:rPr>
        <w:t xml:space="preserve"> – Practical applications of </w:t>
      </w:r>
      <w:r w:rsidR="002931E5" w:rsidRPr="00A3776F">
        <w:rPr>
          <w:rFonts w:ascii="Verdana" w:hAnsi="Verdana"/>
          <w:sz w:val="20"/>
          <w:szCs w:val="20"/>
        </w:rPr>
        <w:t>maths</w:t>
      </w:r>
      <w:r w:rsidRPr="00A3776F">
        <w:rPr>
          <w:rFonts w:ascii="Verdana" w:hAnsi="Verdana"/>
          <w:sz w:val="20"/>
          <w:szCs w:val="20"/>
        </w:rPr>
        <w:t>, problem solving</w:t>
      </w:r>
    </w:p>
    <w:p w:rsidR="001A52BE" w:rsidRPr="00A3776F" w:rsidRDefault="001A52BE" w:rsidP="001A52BE">
      <w:pPr>
        <w:pStyle w:val="ListParagraph"/>
        <w:numPr>
          <w:ilvl w:val="0"/>
          <w:numId w:val="9"/>
        </w:numPr>
        <w:rPr>
          <w:rFonts w:ascii="Verdana" w:hAnsi="Verdana"/>
          <w:sz w:val="20"/>
          <w:szCs w:val="20"/>
        </w:rPr>
      </w:pPr>
      <w:r w:rsidRPr="00A3776F">
        <w:rPr>
          <w:rFonts w:ascii="Verdana" w:hAnsi="Verdana"/>
          <w:b/>
          <w:sz w:val="20"/>
          <w:szCs w:val="20"/>
        </w:rPr>
        <w:t>Business and Finance</w:t>
      </w:r>
      <w:r w:rsidRPr="00A3776F">
        <w:rPr>
          <w:rFonts w:ascii="Verdana" w:hAnsi="Verdana"/>
          <w:sz w:val="20"/>
          <w:szCs w:val="20"/>
        </w:rPr>
        <w:t xml:space="preserve"> – Accountancy, econometrics, opportunities to use statistical software</w:t>
      </w:r>
    </w:p>
    <w:p w:rsidR="001A52BE" w:rsidRPr="00A3776F" w:rsidRDefault="001A52BE" w:rsidP="001A52BE">
      <w:pPr>
        <w:pStyle w:val="ListParagraph"/>
        <w:numPr>
          <w:ilvl w:val="0"/>
          <w:numId w:val="9"/>
        </w:numPr>
        <w:rPr>
          <w:rFonts w:ascii="Verdana" w:hAnsi="Verdana"/>
          <w:sz w:val="20"/>
          <w:szCs w:val="20"/>
        </w:rPr>
      </w:pPr>
      <w:r w:rsidRPr="00A3776F">
        <w:rPr>
          <w:rFonts w:ascii="Verdana" w:hAnsi="Verdana"/>
          <w:b/>
          <w:sz w:val="20"/>
          <w:szCs w:val="20"/>
        </w:rPr>
        <w:t>Bioscience</w:t>
      </w:r>
      <w:r w:rsidRPr="00A3776F">
        <w:rPr>
          <w:rFonts w:ascii="Verdana" w:hAnsi="Verdana"/>
          <w:sz w:val="20"/>
          <w:szCs w:val="20"/>
        </w:rPr>
        <w:t xml:space="preserve"> – Statistics in scientific contexts, opportunities to use statistical software</w:t>
      </w:r>
    </w:p>
    <w:p w:rsidR="001A52BE" w:rsidRPr="00A3776F" w:rsidRDefault="001A52BE" w:rsidP="001A52BE">
      <w:pPr>
        <w:pStyle w:val="ListParagraph"/>
        <w:numPr>
          <w:ilvl w:val="0"/>
          <w:numId w:val="9"/>
        </w:numPr>
        <w:rPr>
          <w:rFonts w:ascii="Verdana" w:hAnsi="Verdana"/>
          <w:sz w:val="20"/>
          <w:szCs w:val="20"/>
        </w:rPr>
      </w:pPr>
      <w:r w:rsidRPr="00A3776F">
        <w:rPr>
          <w:rFonts w:ascii="Verdana" w:hAnsi="Verdana"/>
          <w:b/>
          <w:sz w:val="20"/>
          <w:szCs w:val="20"/>
        </w:rPr>
        <w:t>Chemistry</w:t>
      </w:r>
      <w:r w:rsidRPr="00A3776F">
        <w:rPr>
          <w:rFonts w:ascii="Verdana" w:hAnsi="Verdana"/>
          <w:sz w:val="20"/>
          <w:szCs w:val="20"/>
        </w:rPr>
        <w:t xml:space="preserve"> – Complex differentiation</w:t>
      </w:r>
    </w:p>
    <w:p w:rsidR="001A52BE" w:rsidRPr="00A3776F" w:rsidRDefault="001A52BE" w:rsidP="001A52BE">
      <w:pPr>
        <w:pStyle w:val="ListParagraph"/>
        <w:numPr>
          <w:ilvl w:val="0"/>
          <w:numId w:val="9"/>
        </w:numPr>
        <w:rPr>
          <w:rFonts w:ascii="Verdana" w:hAnsi="Verdana"/>
          <w:sz w:val="20"/>
          <w:szCs w:val="20"/>
        </w:rPr>
      </w:pPr>
      <w:r w:rsidRPr="00A3776F">
        <w:rPr>
          <w:rFonts w:ascii="Verdana" w:hAnsi="Verdana"/>
          <w:b/>
          <w:sz w:val="20"/>
          <w:szCs w:val="20"/>
        </w:rPr>
        <w:t>Computer Science</w:t>
      </w:r>
      <w:r w:rsidRPr="00A3776F">
        <w:rPr>
          <w:rFonts w:ascii="Verdana" w:hAnsi="Verdana"/>
          <w:sz w:val="20"/>
          <w:szCs w:val="20"/>
        </w:rPr>
        <w:t xml:space="preserve"> – Number bases, logic</w:t>
      </w:r>
    </w:p>
    <w:p w:rsidR="001A52BE" w:rsidRPr="00A3776F" w:rsidRDefault="001A52BE" w:rsidP="001A52BE">
      <w:pPr>
        <w:pStyle w:val="ListParagraph"/>
        <w:numPr>
          <w:ilvl w:val="0"/>
          <w:numId w:val="9"/>
        </w:numPr>
        <w:rPr>
          <w:rFonts w:ascii="Verdana" w:hAnsi="Verdana"/>
          <w:sz w:val="20"/>
          <w:szCs w:val="20"/>
        </w:rPr>
      </w:pPr>
      <w:r w:rsidRPr="00A3776F">
        <w:rPr>
          <w:rFonts w:ascii="Verdana" w:hAnsi="Verdana"/>
          <w:b/>
          <w:sz w:val="20"/>
          <w:szCs w:val="20"/>
        </w:rPr>
        <w:t>Economics</w:t>
      </w:r>
      <w:r w:rsidRPr="00A3776F">
        <w:rPr>
          <w:rFonts w:ascii="Verdana" w:hAnsi="Verdana"/>
          <w:sz w:val="20"/>
          <w:szCs w:val="20"/>
        </w:rPr>
        <w:t xml:space="preserve"> – Game theory, linear programming, in-depth calculus</w:t>
      </w:r>
    </w:p>
    <w:p w:rsidR="001A52BE" w:rsidRPr="00A3776F" w:rsidRDefault="001A52BE" w:rsidP="001A52BE">
      <w:pPr>
        <w:pStyle w:val="ListParagraph"/>
        <w:numPr>
          <w:ilvl w:val="0"/>
          <w:numId w:val="9"/>
        </w:numPr>
        <w:rPr>
          <w:rFonts w:ascii="Verdana" w:hAnsi="Verdana"/>
          <w:sz w:val="20"/>
          <w:szCs w:val="20"/>
        </w:rPr>
      </w:pPr>
      <w:r w:rsidRPr="00A3776F">
        <w:rPr>
          <w:rFonts w:ascii="Verdana" w:hAnsi="Verdana"/>
          <w:b/>
          <w:sz w:val="20"/>
          <w:szCs w:val="20"/>
        </w:rPr>
        <w:t>Engineering</w:t>
      </w:r>
      <w:r w:rsidRPr="00A3776F">
        <w:rPr>
          <w:rFonts w:ascii="Verdana" w:hAnsi="Verdana"/>
          <w:sz w:val="20"/>
          <w:szCs w:val="20"/>
        </w:rPr>
        <w:t xml:space="preserve"> – Advanced calculus</w:t>
      </w:r>
    </w:p>
    <w:p w:rsidR="001A52BE" w:rsidRPr="00A3776F" w:rsidRDefault="001A52BE" w:rsidP="001A52BE">
      <w:pPr>
        <w:pStyle w:val="ListParagraph"/>
        <w:numPr>
          <w:ilvl w:val="0"/>
          <w:numId w:val="9"/>
        </w:numPr>
        <w:rPr>
          <w:rFonts w:ascii="Verdana" w:hAnsi="Verdana"/>
          <w:sz w:val="20"/>
          <w:szCs w:val="20"/>
        </w:rPr>
      </w:pPr>
      <w:r w:rsidRPr="00A3776F">
        <w:rPr>
          <w:rFonts w:ascii="Verdana" w:hAnsi="Verdana"/>
          <w:b/>
          <w:sz w:val="20"/>
          <w:szCs w:val="20"/>
        </w:rPr>
        <w:t>Geography</w:t>
      </w:r>
      <w:r w:rsidRPr="00A3776F">
        <w:rPr>
          <w:rFonts w:ascii="Verdana" w:hAnsi="Verdana"/>
          <w:sz w:val="20"/>
          <w:szCs w:val="20"/>
        </w:rPr>
        <w:t xml:space="preserve"> – Opportunities to use statistical software</w:t>
      </w:r>
    </w:p>
    <w:p w:rsidR="001A52BE" w:rsidRPr="00A3776F" w:rsidRDefault="002931E5" w:rsidP="001A52BE">
      <w:pPr>
        <w:pStyle w:val="ListParagraph"/>
        <w:numPr>
          <w:ilvl w:val="0"/>
          <w:numId w:val="9"/>
        </w:numPr>
        <w:rPr>
          <w:rFonts w:ascii="Verdana" w:hAnsi="Verdana"/>
          <w:sz w:val="20"/>
          <w:szCs w:val="20"/>
        </w:rPr>
      </w:pPr>
      <w:r w:rsidRPr="00A3776F">
        <w:rPr>
          <w:rFonts w:ascii="Verdana" w:hAnsi="Verdana"/>
          <w:b/>
          <w:sz w:val="20"/>
          <w:szCs w:val="20"/>
        </w:rPr>
        <w:t>Maths</w:t>
      </w:r>
      <w:r w:rsidR="001A52BE" w:rsidRPr="00A3776F">
        <w:rPr>
          <w:rFonts w:ascii="Verdana" w:hAnsi="Verdana"/>
          <w:sz w:val="20"/>
          <w:szCs w:val="20"/>
        </w:rPr>
        <w:t xml:space="preserve"> – Proof/analysis, advanced calculus, number theory, set theory</w:t>
      </w:r>
    </w:p>
    <w:p w:rsidR="001A52BE" w:rsidRPr="00A3776F" w:rsidRDefault="001A52BE" w:rsidP="001A52BE">
      <w:pPr>
        <w:pStyle w:val="ListParagraph"/>
        <w:numPr>
          <w:ilvl w:val="0"/>
          <w:numId w:val="9"/>
        </w:numPr>
        <w:rPr>
          <w:rFonts w:ascii="Verdana" w:hAnsi="Verdana"/>
          <w:sz w:val="20"/>
          <w:szCs w:val="20"/>
        </w:rPr>
      </w:pPr>
      <w:r w:rsidRPr="00A3776F">
        <w:rPr>
          <w:rFonts w:ascii="Verdana" w:hAnsi="Verdana"/>
          <w:b/>
          <w:sz w:val="20"/>
          <w:szCs w:val="20"/>
        </w:rPr>
        <w:t>Physics</w:t>
      </w:r>
      <w:r w:rsidRPr="00A3776F">
        <w:rPr>
          <w:rFonts w:ascii="Verdana" w:hAnsi="Verdana"/>
          <w:sz w:val="20"/>
          <w:szCs w:val="20"/>
        </w:rPr>
        <w:t xml:space="preserve"> – Advanced calculus</w:t>
      </w:r>
    </w:p>
    <w:p w:rsidR="001A52BE" w:rsidRPr="00A3776F" w:rsidRDefault="001A52BE" w:rsidP="001A52BE">
      <w:pPr>
        <w:pStyle w:val="ListParagraph"/>
        <w:numPr>
          <w:ilvl w:val="0"/>
          <w:numId w:val="9"/>
        </w:numPr>
        <w:rPr>
          <w:rFonts w:ascii="Verdana" w:hAnsi="Verdana"/>
          <w:sz w:val="20"/>
          <w:szCs w:val="20"/>
        </w:rPr>
      </w:pPr>
      <w:r w:rsidRPr="00A3776F">
        <w:rPr>
          <w:rFonts w:ascii="Verdana" w:hAnsi="Verdana"/>
          <w:b/>
          <w:sz w:val="20"/>
          <w:szCs w:val="20"/>
        </w:rPr>
        <w:t>Psychology</w:t>
      </w:r>
      <w:r w:rsidRPr="00A3776F">
        <w:rPr>
          <w:rFonts w:ascii="Verdana" w:hAnsi="Verdana"/>
          <w:sz w:val="20"/>
          <w:szCs w:val="20"/>
        </w:rPr>
        <w:t xml:space="preserve"> – Opportunities to use statistical software, particularly in terms of ANOVA and MANOVA </w:t>
      </w:r>
    </w:p>
    <w:p w:rsidR="001A52BE" w:rsidRPr="00A3776F" w:rsidRDefault="001A52BE" w:rsidP="001A52BE">
      <w:pPr>
        <w:rPr>
          <w:rFonts w:ascii="Verdana" w:hAnsi="Verdana"/>
          <w:sz w:val="20"/>
          <w:szCs w:val="20"/>
        </w:rPr>
      </w:pPr>
      <w:r w:rsidRPr="00A3776F">
        <w:rPr>
          <w:rFonts w:ascii="Verdana" w:hAnsi="Verdana"/>
          <w:sz w:val="20"/>
          <w:szCs w:val="20"/>
        </w:rPr>
        <w:t>Many students also made comments regarding the difficulty of the examinations. In particular, students of more mathematically-demanding degree subjects tended to express a belief that the examinations should have been more demanding</w:t>
      </w:r>
      <w:r w:rsidR="009C475C" w:rsidRPr="00A3776F">
        <w:rPr>
          <w:rFonts w:ascii="Verdana" w:hAnsi="Verdana"/>
          <w:sz w:val="20"/>
          <w:szCs w:val="20"/>
        </w:rPr>
        <w:t xml:space="preserve">. </w:t>
      </w:r>
    </w:p>
    <w:p w:rsidR="001A52BE" w:rsidRPr="00A3776F" w:rsidRDefault="001A52BE" w:rsidP="009C475C">
      <w:pPr>
        <w:pStyle w:val="Heading2"/>
        <w:rPr>
          <w:rFonts w:ascii="Verdana" w:hAnsi="Verdana"/>
          <w:color w:val="auto"/>
          <w:sz w:val="18"/>
          <w:szCs w:val="20"/>
        </w:rPr>
      </w:pPr>
      <w:r w:rsidRPr="00A3776F">
        <w:rPr>
          <w:rFonts w:ascii="Verdana" w:hAnsi="Verdana"/>
          <w:color w:val="auto"/>
          <w:sz w:val="18"/>
          <w:szCs w:val="20"/>
        </w:rPr>
        <w:t xml:space="preserve">3.4 Do students believe extension papers useful preparation for </w:t>
      </w:r>
      <w:r w:rsidR="002931E5" w:rsidRPr="00A3776F">
        <w:rPr>
          <w:rFonts w:ascii="Verdana" w:hAnsi="Verdana"/>
          <w:color w:val="auto"/>
          <w:sz w:val="18"/>
          <w:szCs w:val="20"/>
        </w:rPr>
        <w:t>maths</w:t>
      </w:r>
      <w:r w:rsidRPr="00A3776F">
        <w:rPr>
          <w:rFonts w:ascii="Verdana" w:hAnsi="Verdana"/>
          <w:color w:val="auto"/>
          <w:sz w:val="18"/>
          <w:szCs w:val="20"/>
        </w:rPr>
        <w:t xml:space="preserve"> degrees?</w:t>
      </w:r>
    </w:p>
    <w:p w:rsidR="009C475C" w:rsidRPr="00A3776F" w:rsidRDefault="009C475C" w:rsidP="009C475C">
      <w:pPr>
        <w:rPr>
          <w:rFonts w:ascii="Verdana" w:hAnsi="Verdana"/>
          <w:sz w:val="20"/>
          <w:szCs w:val="20"/>
        </w:rPr>
      </w:pPr>
      <w:r w:rsidRPr="00A3776F">
        <w:rPr>
          <w:rFonts w:ascii="Verdana" w:hAnsi="Verdana"/>
          <w:sz w:val="20"/>
          <w:szCs w:val="20"/>
        </w:rPr>
        <w:t xml:space="preserve">430 </w:t>
      </w:r>
      <w:r w:rsidR="00257641" w:rsidRPr="00A3776F">
        <w:rPr>
          <w:rFonts w:ascii="Verdana" w:hAnsi="Verdana"/>
          <w:sz w:val="20"/>
          <w:szCs w:val="20"/>
        </w:rPr>
        <w:t xml:space="preserve">undergraduate mathematicians </w:t>
      </w:r>
      <w:r w:rsidRPr="00A3776F">
        <w:rPr>
          <w:rFonts w:ascii="Verdana" w:hAnsi="Verdana"/>
          <w:sz w:val="20"/>
          <w:szCs w:val="20"/>
        </w:rPr>
        <w:t>had taken at least one of the MAT, AEA and STEP. Participants’ views regarding the usefulness of those papers as preparation for their degree varied by extension paper (see Figure</w:t>
      </w:r>
      <w:r w:rsidR="00DB33D1" w:rsidRPr="00A3776F">
        <w:rPr>
          <w:rFonts w:ascii="Verdana" w:hAnsi="Verdana"/>
          <w:sz w:val="20"/>
          <w:szCs w:val="20"/>
        </w:rPr>
        <w:t xml:space="preserve"> 4</w:t>
      </w:r>
      <w:r w:rsidRPr="00A3776F">
        <w:rPr>
          <w:rFonts w:ascii="Verdana" w:hAnsi="Verdana"/>
          <w:sz w:val="20"/>
          <w:szCs w:val="20"/>
        </w:rPr>
        <w:t xml:space="preserve">). </w:t>
      </w:r>
    </w:p>
    <w:p w:rsidR="009C475C" w:rsidRPr="00A3776F" w:rsidRDefault="009C475C" w:rsidP="00DB33D1">
      <w:pPr>
        <w:spacing w:after="0"/>
        <w:rPr>
          <w:rFonts w:ascii="Verdana" w:hAnsi="Verdana"/>
          <w:sz w:val="20"/>
          <w:szCs w:val="20"/>
        </w:rPr>
      </w:pPr>
      <w:r w:rsidRPr="00A3776F">
        <w:rPr>
          <w:rFonts w:ascii="Verdana" w:hAnsi="Verdana"/>
          <w:noProof/>
          <w:sz w:val="20"/>
          <w:szCs w:val="20"/>
          <w:lang w:eastAsia="en-GB"/>
        </w:rPr>
        <w:lastRenderedPageBreak/>
        <w:drawing>
          <wp:inline distT="0" distB="0" distL="0" distR="0" wp14:anchorId="5E1B674F" wp14:editId="5C572042">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B33D1" w:rsidRPr="00A3776F" w:rsidRDefault="00DB33D1" w:rsidP="00DB33D1">
      <w:pPr>
        <w:rPr>
          <w:rFonts w:ascii="Verdana" w:hAnsi="Verdana"/>
          <w:i/>
          <w:sz w:val="20"/>
          <w:szCs w:val="20"/>
        </w:rPr>
      </w:pPr>
      <w:r w:rsidRPr="00A3776F">
        <w:rPr>
          <w:rFonts w:ascii="Verdana" w:hAnsi="Verdana"/>
          <w:i/>
          <w:sz w:val="20"/>
          <w:szCs w:val="20"/>
        </w:rPr>
        <w:t xml:space="preserve">Figure 4 </w:t>
      </w:r>
      <w:r w:rsidR="00B04B96" w:rsidRPr="00A3776F">
        <w:rPr>
          <w:rFonts w:ascii="Verdana" w:hAnsi="Verdana"/>
          <w:i/>
          <w:sz w:val="20"/>
          <w:szCs w:val="20"/>
        </w:rPr>
        <w:t>–</w:t>
      </w:r>
      <w:r w:rsidRPr="00A3776F">
        <w:rPr>
          <w:rFonts w:ascii="Verdana" w:hAnsi="Verdana"/>
          <w:i/>
          <w:sz w:val="20"/>
          <w:szCs w:val="20"/>
        </w:rPr>
        <w:t xml:space="preserve"> Participants</w:t>
      </w:r>
      <w:r w:rsidR="00B04B96" w:rsidRPr="00A3776F">
        <w:rPr>
          <w:rFonts w:ascii="Verdana" w:hAnsi="Verdana"/>
          <w:i/>
          <w:sz w:val="20"/>
          <w:szCs w:val="20"/>
        </w:rPr>
        <w:t>’</w:t>
      </w:r>
      <w:r w:rsidRPr="00A3776F">
        <w:rPr>
          <w:rFonts w:ascii="Verdana" w:hAnsi="Verdana"/>
          <w:i/>
          <w:sz w:val="20"/>
          <w:szCs w:val="20"/>
        </w:rPr>
        <w:t xml:space="preserve"> perceptions of extension papers as preparation for undergraduate maths</w:t>
      </w:r>
    </w:p>
    <w:p w:rsidR="00881C48" w:rsidRPr="00A3776F" w:rsidRDefault="00881C48" w:rsidP="00881C48">
      <w:pPr>
        <w:rPr>
          <w:rFonts w:ascii="Verdana" w:hAnsi="Verdana"/>
          <w:sz w:val="20"/>
          <w:szCs w:val="20"/>
        </w:rPr>
      </w:pPr>
      <w:r w:rsidRPr="00A3776F">
        <w:rPr>
          <w:rFonts w:ascii="Verdana" w:hAnsi="Verdana"/>
          <w:sz w:val="20"/>
          <w:szCs w:val="20"/>
        </w:rPr>
        <w:t xml:space="preserve">Those who described the MAT as bad preparation often reported that this was because </w:t>
      </w:r>
      <w:r w:rsidR="00257641" w:rsidRPr="00A3776F">
        <w:rPr>
          <w:rFonts w:ascii="Verdana" w:hAnsi="Verdana"/>
          <w:sz w:val="20"/>
          <w:szCs w:val="20"/>
        </w:rPr>
        <w:t>it</w:t>
      </w:r>
      <w:r w:rsidRPr="00A3776F">
        <w:rPr>
          <w:rFonts w:ascii="Verdana" w:hAnsi="Verdana"/>
          <w:sz w:val="20"/>
          <w:szCs w:val="20"/>
        </w:rPr>
        <w:t xml:space="preserve"> assessed logical thinking and puzzles, rather than the type of </w:t>
      </w:r>
      <w:r w:rsidR="002931E5" w:rsidRPr="00A3776F">
        <w:rPr>
          <w:rFonts w:ascii="Verdana" w:hAnsi="Verdana"/>
          <w:sz w:val="20"/>
          <w:szCs w:val="20"/>
        </w:rPr>
        <w:t>maths</w:t>
      </w:r>
      <w:r w:rsidRPr="00A3776F">
        <w:rPr>
          <w:rFonts w:ascii="Verdana" w:hAnsi="Verdana"/>
          <w:sz w:val="20"/>
          <w:szCs w:val="20"/>
        </w:rPr>
        <w:t xml:space="preserve"> studied at undergraduate level. Others commented that the MAT was more demanding than A-levels, and as such proved useful to prepare them for </w:t>
      </w:r>
      <w:r w:rsidR="00257641" w:rsidRPr="00A3776F">
        <w:rPr>
          <w:rFonts w:ascii="Verdana" w:hAnsi="Verdana"/>
          <w:sz w:val="20"/>
          <w:szCs w:val="20"/>
        </w:rPr>
        <w:t xml:space="preserve">the challenge of </w:t>
      </w:r>
      <w:r w:rsidRPr="00A3776F">
        <w:rPr>
          <w:rFonts w:ascii="Verdana" w:hAnsi="Verdana"/>
          <w:sz w:val="20"/>
          <w:szCs w:val="20"/>
        </w:rPr>
        <w:t xml:space="preserve">university </w:t>
      </w:r>
      <w:r w:rsidR="00257641" w:rsidRPr="00A3776F">
        <w:rPr>
          <w:rFonts w:ascii="Verdana" w:hAnsi="Verdana"/>
          <w:sz w:val="20"/>
          <w:szCs w:val="20"/>
        </w:rPr>
        <w:t>maths</w:t>
      </w:r>
      <w:r w:rsidRPr="00A3776F">
        <w:rPr>
          <w:rFonts w:ascii="Verdana" w:hAnsi="Verdana"/>
          <w:sz w:val="20"/>
          <w:szCs w:val="20"/>
        </w:rPr>
        <w:t>.</w:t>
      </w:r>
      <w:r w:rsidR="009C475C" w:rsidRPr="00A3776F">
        <w:rPr>
          <w:rFonts w:ascii="Verdana" w:hAnsi="Verdana"/>
          <w:sz w:val="20"/>
          <w:szCs w:val="20"/>
        </w:rPr>
        <w:t xml:space="preserve"> </w:t>
      </w:r>
    </w:p>
    <w:p w:rsidR="00881C48" w:rsidRPr="00A3776F" w:rsidRDefault="00257641" w:rsidP="00881C48">
      <w:pPr>
        <w:rPr>
          <w:rFonts w:ascii="Verdana" w:hAnsi="Verdana"/>
          <w:sz w:val="20"/>
          <w:szCs w:val="20"/>
        </w:rPr>
      </w:pPr>
      <w:r w:rsidRPr="00A3776F">
        <w:rPr>
          <w:rFonts w:ascii="Verdana" w:hAnsi="Verdana"/>
          <w:sz w:val="20"/>
          <w:szCs w:val="20"/>
        </w:rPr>
        <w:t>M</w:t>
      </w:r>
      <w:r w:rsidR="00881C48" w:rsidRPr="00A3776F">
        <w:rPr>
          <w:rFonts w:ascii="Verdana" w:hAnsi="Verdana"/>
          <w:sz w:val="20"/>
          <w:szCs w:val="20"/>
        </w:rPr>
        <w:t xml:space="preserve">any </w:t>
      </w:r>
      <w:r w:rsidRPr="00A3776F">
        <w:rPr>
          <w:rFonts w:ascii="Verdana" w:hAnsi="Verdana"/>
          <w:sz w:val="20"/>
          <w:szCs w:val="20"/>
        </w:rPr>
        <w:t xml:space="preserve">participants </w:t>
      </w:r>
      <w:r w:rsidR="00881C48" w:rsidRPr="00A3776F">
        <w:rPr>
          <w:rFonts w:ascii="Verdana" w:hAnsi="Verdana"/>
          <w:sz w:val="20"/>
          <w:szCs w:val="20"/>
        </w:rPr>
        <w:t xml:space="preserve">described the AEA as being </w:t>
      </w:r>
      <w:r w:rsidR="001D1564" w:rsidRPr="00A3776F">
        <w:rPr>
          <w:rFonts w:ascii="Verdana" w:hAnsi="Verdana"/>
          <w:sz w:val="20"/>
          <w:szCs w:val="20"/>
        </w:rPr>
        <w:t>too</w:t>
      </w:r>
      <w:r w:rsidR="00881C48" w:rsidRPr="00A3776F">
        <w:rPr>
          <w:rFonts w:ascii="Verdana" w:hAnsi="Verdana"/>
          <w:sz w:val="20"/>
          <w:szCs w:val="20"/>
        </w:rPr>
        <w:t xml:space="preserve"> similar to A-level assessment, rather than requiring deeper understanding or more advanced problem-solving skills than </w:t>
      </w:r>
      <w:r w:rsidR="001D1564" w:rsidRPr="00A3776F">
        <w:rPr>
          <w:rFonts w:ascii="Verdana" w:hAnsi="Verdana"/>
          <w:sz w:val="20"/>
          <w:szCs w:val="20"/>
        </w:rPr>
        <w:t>necessary</w:t>
      </w:r>
      <w:r w:rsidR="00881C48" w:rsidRPr="00A3776F">
        <w:rPr>
          <w:rFonts w:ascii="Verdana" w:hAnsi="Verdana"/>
          <w:sz w:val="20"/>
          <w:szCs w:val="20"/>
        </w:rPr>
        <w:t xml:space="preserve"> at A-level.</w:t>
      </w:r>
    </w:p>
    <w:p w:rsidR="00881C48" w:rsidRPr="00A3776F" w:rsidRDefault="00881C48" w:rsidP="00881C48">
      <w:pPr>
        <w:rPr>
          <w:rFonts w:ascii="Verdana" w:hAnsi="Verdana"/>
          <w:sz w:val="20"/>
          <w:szCs w:val="20"/>
        </w:rPr>
      </w:pPr>
      <w:r w:rsidRPr="00A3776F">
        <w:rPr>
          <w:rFonts w:ascii="Verdana" w:hAnsi="Verdana"/>
          <w:sz w:val="20"/>
          <w:szCs w:val="20"/>
        </w:rPr>
        <w:t xml:space="preserve">Most participants reported that STEPs gave a more accurate expectation of university </w:t>
      </w:r>
      <w:r w:rsidR="002931E5" w:rsidRPr="00A3776F">
        <w:rPr>
          <w:rFonts w:ascii="Verdana" w:hAnsi="Verdana"/>
          <w:sz w:val="20"/>
          <w:szCs w:val="20"/>
        </w:rPr>
        <w:t>maths</w:t>
      </w:r>
      <w:r w:rsidRPr="00A3776F">
        <w:rPr>
          <w:rFonts w:ascii="Verdana" w:hAnsi="Verdana"/>
          <w:sz w:val="20"/>
          <w:szCs w:val="20"/>
        </w:rPr>
        <w:t xml:space="preserve">, with questions emphasising the importance of proof and formal </w:t>
      </w:r>
      <w:r w:rsidR="002931E5" w:rsidRPr="00A3776F">
        <w:rPr>
          <w:rFonts w:ascii="Verdana" w:hAnsi="Verdana"/>
          <w:sz w:val="20"/>
          <w:szCs w:val="20"/>
        </w:rPr>
        <w:t>maths</w:t>
      </w:r>
      <w:r w:rsidRPr="00A3776F">
        <w:rPr>
          <w:rFonts w:ascii="Verdana" w:hAnsi="Verdana"/>
          <w:sz w:val="20"/>
          <w:szCs w:val="20"/>
        </w:rPr>
        <w:t xml:space="preserve">. Many claimed that the question styles were similar to undergraduate </w:t>
      </w:r>
      <w:r w:rsidR="002931E5" w:rsidRPr="00A3776F">
        <w:rPr>
          <w:rFonts w:ascii="Verdana" w:hAnsi="Verdana"/>
          <w:sz w:val="20"/>
          <w:szCs w:val="20"/>
        </w:rPr>
        <w:t>maths</w:t>
      </w:r>
      <w:r w:rsidRPr="00A3776F">
        <w:rPr>
          <w:rFonts w:ascii="Verdana" w:hAnsi="Verdana"/>
          <w:sz w:val="20"/>
          <w:szCs w:val="20"/>
        </w:rPr>
        <w:t xml:space="preserve"> questions, and helped develop their problem-solving ability and synoptic understanding of different areas of </w:t>
      </w:r>
      <w:r w:rsidR="002931E5" w:rsidRPr="00A3776F">
        <w:rPr>
          <w:rFonts w:ascii="Verdana" w:hAnsi="Verdana"/>
          <w:sz w:val="20"/>
          <w:szCs w:val="20"/>
        </w:rPr>
        <w:t>maths</w:t>
      </w:r>
      <w:r w:rsidRPr="00A3776F">
        <w:rPr>
          <w:rFonts w:ascii="Verdana" w:hAnsi="Verdana"/>
          <w:sz w:val="20"/>
          <w:szCs w:val="20"/>
        </w:rPr>
        <w:t xml:space="preserve">. </w:t>
      </w:r>
      <w:r w:rsidR="00257641" w:rsidRPr="00A3776F">
        <w:rPr>
          <w:rFonts w:ascii="Verdana" w:hAnsi="Verdana"/>
          <w:sz w:val="20"/>
          <w:szCs w:val="20"/>
        </w:rPr>
        <w:t>However</w:t>
      </w:r>
      <w:r w:rsidRPr="00A3776F">
        <w:rPr>
          <w:rFonts w:ascii="Verdana" w:hAnsi="Verdana"/>
          <w:sz w:val="20"/>
          <w:szCs w:val="20"/>
        </w:rPr>
        <w:t xml:space="preserve">, a number of participants described STEPs as </w:t>
      </w:r>
      <w:r w:rsidR="00257641" w:rsidRPr="00A3776F">
        <w:rPr>
          <w:rFonts w:ascii="Verdana" w:hAnsi="Verdana"/>
          <w:sz w:val="20"/>
          <w:szCs w:val="20"/>
        </w:rPr>
        <w:t>too difficult and stress-</w:t>
      </w:r>
      <w:proofErr w:type="gramStart"/>
      <w:r w:rsidR="00257641" w:rsidRPr="00A3776F">
        <w:rPr>
          <w:rFonts w:ascii="Verdana" w:hAnsi="Verdana"/>
          <w:sz w:val="20"/>
          <w:szCs w:val="20"/>
        </w:rPr>
        <w:t>inducing</w:t>
      </w:r>
      <w:r w:rsidRPr="00A3776F">
        <w:rPr>
          <w:rFonts w:ascii="Verdana" w:hAnsi="Verdana"/>
          <w:sz w:val="20"/>
          <w:szCs w:val="20"/>
        </w:rPr>
        <w:t>,</w:t>
      </w:r>
      <w:proofErr w:type="gramEnd"/>
      <w:r w:rsidRPr="00A3776F">
        <w:rPr>
          <w:rFonts w:ascii="Verdana" w:hAnsi="Verdana"/>
          <w:sz w:val="20"/>
          <w:szCs w:val="20"/>
        </w:rPr>
        <w:t xml:space="preserve"> with others commenting that </w:t>
      </w:r>
      <w:r w:rsidR="00257641" w:rsidRPr="00A3776F">
        <w:rPr>
          <w:rFonts w:ascii="Verdana" w:hAnsi="Verdana"/>
          <w:sz w:val="20"/>
          <w:szCs w:val="20"/>
        </w:rPr>
        <w:t xml:space="preserve">support was easier to come by for </w:t>
      </w:r>
      <w:r w:rsidRPr="00A3776F">
        <w:rPr>
          <w:rFonts w:ascii="Verdana" w:hAnsi="Verdana"/>
          <w:sz w:val="20"/>
          <w:szCs w:val="20"/>
        </w:rPr>
        <w:t xml:space="preserve">students </w:t>
      </w:r>
      <w:r w:rsidR="00257641" w:rsidRPr="00A3776F">
        <w:rPr>
          <w:rFonts w:ascii="Verdana" w:hAnsi="Verdana"/>
          <w:sz w:val="20"/>
          <w:szCs w:val="20"/>
        </w:rPr>
        <w:t>at higher-performing schools</w:t>
      </w:r>
      <w:r w:rsidRPr="00A3776F">
        <w:rPr>
          <w:rFonts w:ascii="Verdana" w:hAnsi="Verdana"/>
          <w:sz w:val="20"/>
          <w:szCs w:val="20"/>
        </w:rPr>
        <w:t xml:space="preserve">. </w:t>
      </w:r>
    </w:p>
    <w:p w:rsidR="0025154A" w:rsidRPr="00A3776F" w:rsidRDefault="00D909A1" w:rsidP="0025154A">
      <w:pPr>
        <w:pStyle w:val="Heading1"/>
        <w:rPr>
          <w:rFonts w:ascii="Verdana" w:hAnsi="Verdana"/>
          <w:color w:val="auto"/>
          <w:sz w:val="24"/>
          <w:szCs w:val="24"/>
        </w:rPr>
      </w:pPr>
      <w:r w:rsidRPr="00A3776F">
        <w:rPr>
          <w:rFonts w:ascii="Verdana" w:hAnsi="Verdana"/>
          <w:color w:val="auto"/>
          <w:sz w:val="24"/>
          <w:szCs w:val="24"/>
        </w:rPr>
        <w:t xml:space="preserve">4. </w:t>
      </w:r>
      <w:r w:rsidR="0025154A" w:rsidRPr="00A3776F">
        <w:rPr>
          <w:rFonts w:ascii="Verdana" w:hAnsi="Verdana"/>
          <w:color w:val="auto"/>
          <w:sz w:val="24"/>
          <w:szCs w:val="24"/>
        </w:rPr>
        <w:t>Discussion</w:t>
      </w:r>
    </w:p>
    <w:p w:rsidR="0035792A" w:rsidRPr="00A3776F" w:rsidRDefault="002931E5" w:rsidP="0025154A">
      <w:pPr>
        <w:rPr>
          <w:rFonts w:ascii="Verdana" w:hAnsi="Verdana"/>
          <w:sz w:val="20"/>
          <w:szCs w:val="20"/>
        </w:rPr>
      </w:pPr>
      <w:r w:rsidRPr="00A3776F">
        <w:rPr>
          <w:rFonts w:ascii="Verdana" w:hAnsi="Verdana"/>
          <w:sz w:val="20"/>
          <w:szCs w:val="20"/>
        </w:rPr>
        <w:t>Maths</w:t>
      </w:r>
      <w:r w:rsidR="00735A8E" w:rsidRPr="00A3776F">
        <w:rPr>
          <w:rFonts w:ascii="Verdana" w:hAnsi="Verdana"/>
          <w:sz w:val="20"/>
          <w:szCs w:val="20"/>
        </w:rPr>
        <w:t xml:space="preserve"> educators and educational researchers expect that the reforms to A-level </w:t>
      </w:r>
      <w:r w:rsidRPr="00A3776F">
        <w:rPr>
          <w:rFonts w:ascii="Verdana" w:hAnsi="Verdana"/>
          <w:sz w:val="20"/>
          <w:szCs w:val="20"/>
        </w:rPr>
        <w:t>Maths</w:t>
      </w:r>
      <w:r w:rsidR="00735A8E" w:rsidRPr="00A3776F">
        <w:rPr>
          <w:rFonts w:ascii="Verdana" w:hAnsi="Verdana"/>
          <w:sz w:val="20"/>
          <w:szCs w:val="20"/>
        </w:rPr>
        <w:t xml:space="preserve"> and Further </w:t>
      </w:r>
      <w:r w:rsidRPr="00A3776F">
        <w:rPr>
          <w:rFonts w:ascii="Verdana" w:hAnsi="Verdana"/>
          <w:sz w:val="20"/>
          <w:szCs w:val="20"/>
        </w:rPr>
        <w:t>Maths</w:t>
      </w:r>
      <w:r w:rsidR="00735A8E" w:rsidRPr="00A3776F">
        <w:rPr>
          <w:rFonts w:ascii="Verdana" w:hAnsi="Verdana"/>
          <w:sz w:val="20"/>
          <w:szCs w:val="20"/>
        </w:rPr>
        <w:t xml:space="preserve"> will more than likely reduce the uptake of Further </w:t>
      </w:r>
      <w:r w:rsidRPr="00A3776F">
        <w:rPr>
          <w:rFonts w:ascii="Verdana" w:hAnsi="Verdana"/>
          <w:sz w:val="20"/>
          <w:szCs w:val="20"/>
        </w:rPr>
        <w:t>Maths</w:t>
      </w:r>
      <w:r w:rsidR="00735A8E" w:rsidRPr="00A3776F">
        <w:rPr>
          <w:rFonts w:ascii="Verdana" w:hAnsi="Verdana"/>
          <w:sz w:val="20"/>
          <w:szCs w:val="20"/>
        </w:rPr>
        <w:t xml:space="preserve">. </w:t>
      </w:r>
      <w:r w:rsidR="0035792A" w:rsidRPr="00A3776F">
        <w:rPr>
          <w:rFonts w:ascii="Verdana" w:hAnsi="Verdana"/>
          <w:sz w:val="20"/>
          <w:szCs w:val="20"/>
        </w:rPr>
        <w:t xml:space="preserve">The research here indicate that this could be very damaging for prospective students of a large range of university subjects as Further </w:t>
      </w:r>
      <w:r w:rsidRPr="00A3776F">
        <w:rPr>
          <w:rFonts w:ascii="Verdana" w:hAnsi="Verdana"/>
          <w:sz w:val="20"/>
          <w:szCs w:val="20"/>
        </w:rPr>
        <w:t>Maths</w:t>
      </w:r>
      <w:r w:rsidR="0035792A" w:rsidRPr="00A3776F">
        <w:rPr>
          <w:rFonts w:ascii="Verdana" w:hAnsi="Verdana"/>
          <w:sz w:val="20"/>
          <w:szCs w:val="20"/>
        </w:rPr>
        <w:t xml:space="preserve"> is viewed so positively by undergraduates who took it before embarking on mathematically demanding degree courses.</w:t>
      </w:r>
    </w:p>
    <w:p w:rsidR="0035792A" w:rsidRPr="00A3776F" w:rsidRDefault="0035792A" w:rsidP="0025154A">
      <w:pPr>
        <w:rPr>
          <w:rFonts w:ascii="Verdana" w:hAnsi="Verdana"/>
          <w:sz w:val="20"/>
          <w:szCs w:val="20"/>
        </w:rPr>
      </w:pPr>
      <w:r w:rsidRPr="00A3776F">
        <w:rPr>
          <w:rFonts w:ascii="Verdana" w:hAnsi="Verdana"/>
          <w:sz w:val="20"/>
          <w:szCs w:val="20"/>
        </w:rPr>
        <w:t xml:space="preserve">This comes at a time when universities are struggling to </w:t>
      </w:r>
      <w:proofErr w:type="spellStart"/>
      <w:r w:rsidRPr="00A3776F">
        <w:rPr>
          <w:rFonts w:ascii="Verdana" w:hAnsi="Verdana"/>
          <w:sz w:val="20"/>
          <w:szCs w:val="20"/>
        </w:rPr>
        <w:t>to</w:t>
      </w:r>
      <w:proofErr w:type="spellEnd"/>
      <w:r w:rsidRPr="00A3776F">
        <w:rPr>
          <w:rFonts w:ascii="Verdana" w:hAnsi="Verdana"/>
          <w:sz w:val="20"/>
          <w:szCs w:val="20"/>
        </w:rPr>
        <w:t xml:space="preserve"> select the best </w:t>
      </w:r>
      <w:r w:rsidR="00257641" w:rsidRPr="00A3776F">
        <w:rPr>
          <w:rFonts w:ascii="Verdana" w:hAnsi="Verdana"/>
          <w:sz w:val="20"/>
          <w:szCs w:val="20"/>
        </w:rPr>
        <w:t>students</w:t>
      </w:r>
      <w:r w:rsidRPr="00A3776F">
        <w:rPr>
          <w:rFonts w:ascii="Verdana" w:hAnsi="Verdana"/>
          <w:sz w:val="20"/>
          <w:szCs w:val="20"/>
        </w:rPr>
        <w:t>, despite the introduction of the A* aiming to differentiate between the highest-performing students. AS-level results are generally viewed by universities as being the most useful predictor of final A-level results; however, t</w:t>
      </w:r>
      <w:r w:rsidR="00735A8E" w:rsidRPr="00A3776F">
        <w:rPr>
          <w:rFonts w:ascii="Verdana" w:hAnsi="Verdana"/>
          <w:sz w:val="20"/>
          <w:szCs w:val="20"/>
        </w:rPr>
        <w:t xml:space="preserve">he decoupling of the AS- and A-level means </w:t>
      </w:r>
      <w:r w:rsidR="00735A8E" w:rsidRPr="00A3776F">
        <w:rPr>
          <w:rFonts w:ascii="Verdana" w:hAnsi="Verdana"/>
          <w:sz w:val="20"/>
          <w:szCs w:val="20"/>
        </w:rPr>
        <w:lastRenderedPageBreak/>
        <w:t>that many schools are changing their AS- and A-level provisions (UCAS, 2017). This means a decrease in the number of students taking three A-levels plus an additional AS-level, and an increase in the number of students taking three A-levels only</w:t>
      </w:r>
      <w:r w:rsidR="001B4885" w:rsidRPr="00A3776F">
        <w:rPr>
          <w:rFonts w:ascii="Verdana" w:hAnsi="Verdana"/>
          <w:sz w:val="20"/>
          <w:szCs w:val="20"/>
        </w:rPr>
        <w:t xml:space="preserve"> is likely</w:t>
      </w:r>
      <w:r w:rsidR="00735A8E" w:rsidRPr="00A3776F">
        <w:rPr>
          <w:rFonts w:ascii="Verdana" w:hAnsi="Verdana"/>
          <w:sz w:val="20"/>
          <w:szCs w:val="20"/>
        </w:rPr>
        <w:t xml:space="preserve">. </w:t>
      </w:r>
      <w:r w:rsidR="00C43491" w:rsidRPr="00A3776F">
        <w:rPr>
          <w:rFonts w:ascii="Verdana" w:hAnsi="Verdana"/>
          <w:sz w:val="20"/>
          <w:szCs w:val="20"/>
        </w:rPr>
        <w:t>Furthermore, funding pressures</w:t>
      </w:r>
      <w:r w:rsidR="001B4885" w:rsidRPr="00A3776F">
        <w:rPr>
          <w:rFonts w:ascii="Verdana" w:hAnsi="Verdana"/>
          <w:sz w:val="20"/>
          <w:szCs w:val="20"/>
        </w:rPr>
        <w:t xml:space="preserve"> mean</w:t>
      </w:r>
      <w:r w:rsidR="00C43491" w:rsidRPr="00A3776F">
        <w:rPr>
          <w:rFonts w:ascii="Verdana" w:hAnsi="Verdana"/>
          <w:sz w:val="20"/>
          <w:szCs w:val="20"/>
        </w:rPr>
        <w:t xml:space="preserve"> schools may </w:t>
      </w:r>
      <w:r w:rsidR="001B4885" w:rsidRPr="00A3776F">
        <w:rPr>
          <w:rFonts w:ascii="Verdana" w:hAnsi="Verdana"/>
          <w:sz w:val="20"/>
          <w:szCs w:val="20"/>
        </w:rPr>
        <w:t>choose not to</w:t>
      </w:r>
      <w:r w:rsidR="00C43491" w:rsidRPr="00A3776F">
        <w:rPr>
          <w:rFonts w:ascii="Verdana" w:hAnsi="Verdana"/>
          <w:sz w:val="20"/>
          <w:szCs w:val="20"/>
        </w:rPr>
        <w:t xml:space="preserve"> enter students for AS-level examinations just so that they have additional information for their university applications, making admissions processes more challenging for university admissions tutors. </w:t>
      </w:r>
    </w:p>
    <w:p w:rsidR="00381F34" w:rsidRPr="00A3776F" w:rsidRDefault="00735A8E" w:rsidP="0025154A">
      <w:pPr>
        <w:rPr>
          <w:rFonts w:ascii="Verdana" w:hAnsi="Verdana"/>
          <w:sz w:val="20"/>
          <w:szCs w:val="20"/>
        </w:rPr>
      </w:pPr>
      <w:r w:rsidRPr="00A3776F">
        <w:rPr>
          <w:rFonts w:ascii="Verdana" w:hAnsi="Verdana"/>
          <w:sz w:val="20"/>
          <w:szCs w:val="20"/>
        </w:rPr>
        <w:t xml:space="preserve">Whilst an increasing number of university </w:t>
      </w:r>
      <w:r w:rsidR="002931E5" w:rsidRPr="00A3776F">
        <w:rPr>
          <w:rFonts w:ascii="Verdana" w:hAnsi="Verdana"/>
          <w:sz w:val="20"/>
          <w:szCs w:val="20"/>
        </w:rPr>
        <w:t>maths</w:t>
      </w:r>
      <w:r w:rsidRPr="00A3776F">
        <w:rPr>
          <w:rFonts w:ascii="Verdana" w:hAnsi="Verdana"/>
          <w:sz w:val="20"/>
          <w:szCs w:val="20"/>
        </w:rPr>
        <w:t xml:space="preserve"> departments are requiring</w:t>
      </w:r>
      <w:r w:rsidR="001B4885" w:rsidRPr="00A3776F">
        <w:rPr>
          <w:rFonts w:ascii="Verdana" w:hAnsi="Verdana"/>
          <w:sz w:val="20"/>
          <w:szCs w:val="20"/>
        </w:rPr>
        <w:t>/encouraging</w:t>
      </w:r>
      <w:r w:rsidRPr="00A3776F">
        <w:rPr>
          <w:rFonts w:ascii="Verdana" w:hAnsi="Verdana"/>
          <w:sz w:val="20"/>
          <w:szCs w:val="20"/>
        </w:rPr>
        <w:t xml:space="preserve"> applicants to take Further </w:t>
      </w:r>
      <w:r w:rsidR="002931E5" w:rsidRPr="00A3776F">
        <w:rPr>
          <w:rFonts w:ascii="Verdana" w:hAnsi="Verdana"/>
          <w:sz w:val="20"/>
          <w:szCs w:val="20"/>
        </w:rPr>
        <w:t>Maths</w:t>
      </w:r>
      <w:r w:rsidRPr="00A3776F">
        <w:rPr>
          <w:rFonts w:ascii="Verdana" w:hAnsi="Verdana"/>
          <w:sz w:val="20"/>
          <w:szCs w:val="20"/>
        </w:rPr>
        <w:t xml:space="preserve">, school policies and student confidence in enjoying and </w:t>
      </w:r>
      <w:r w:rsidR="001B4885" w:rsidRPr="00A3776F">
        <w:rPr>
          <w:rFonts w:ascii="Verdana" w:hAnsi="Verdana"/>
          <w:sz w:val="20"/>
          <w:szCs w:val="20"/>
        </w:rPr>
        <w:t>succeeding</w:t>
      </w:r>
      <w:r w:rsidRPr="00A3776F">
        <w:rPr>
          <w:rFonts w:ascii="Verdana" w:hAnsi="Verdana"/>
          <w:sz w:val="20"/>
          <w:szCs w:val="20"/>
        </w:rPr>
        <w:t xml:space="preserve"> in Further </w:t>
      </w:r>
      <w:r w:rsidR="002931E5" w:rsidRPr="00A3776F">
        <w:rPr>
          <w:rFonts w:ascii="Verdana" w:hAnsi="Verdana"/>
          <w:sz w:val="20"/>
          <w:szCs w:val="20"/>
        </w:rPr>
        <w:t>Maths</w:t>
      </w:r>
      <w:r w:rsidRPr="00A3776F">
        <w:rPr>
          <w:rFonts w:ascii="Verdana" w:hAnsi="Verdana"/>
          <w:sz w:val="20"/>
          <w:szCs w:val="20"/>
        </w:rPr>
        <w:t xml:space="preserve"> could see fewer students taking the qualification post-2017. </w:t>
      </w:r>
      <w:r w:rsidR="00CA4464" w:rsidRPr="00A3776F">
        <w:rPr>
          <w:rFonts w:ascii="Verdana" w:hAnsi="Verdana"/>
          <w:sz w:val="20"/>
          <w:szCs w:val="20"/>
        </w:rPr>
        <w:t>Hence, it</w:t>
      </w:r>
      <w:r w:rsidR="0035792A" w:rsidRPr="00A3776F">
        <w:rPr>
          <w:rFonts w:ascii="Verdana" w:hAnsi="Verdana"/>
          <w:sz w:val="20"/>
          <w:szCs w:val="20"/>
        </w:rPr>
        <w:t xml:space="preserve"> could become more common for universities to </w:t>
      </w:r>
      <w:r w:rsidR="00CA4464" w:rsidRPr="00A3776F">
        <w:rPr>
          <w:rFonts w:ascii="Verdana" w:hAnsi="Verdana"/>
          <w:sz w:val="20"/>
          <w:szCs w:val="20"/>
        </w:rPr>
        <w:t>use</w:t>
      </w:r>
      <w:r w:rsidR="0035792A" w:rsidRPr="00A3776F">
        <w:rPr>
          <w:rFonts w:ascii="Verdana" w:hAnsi="Verdana"/>
          <w:sz w:val="20"/>
          <w:szCs w:val="20"/>
        </w:rPr>
        <w:t xml:space="preserve"> </w:t>
      </w:r>
      <w:r w:rsidR="00CA4464" w:rsidRPr="00A3776F">
        <w:rPr>
          <w:rFonts w:ascii="Verdana" w:hAnsi="Verdana"/>
          <w:sz w:val="20"/>
          <w:szCs w:val="20"/>
        </w:rPr>
        <w:t>extension papers</w:t>
      </w:r>
      <w:r w:rsidR="0035792A" w:rsidRPr="00A3776F">
        <w:rPr>
          <w:rFonts w:ascii="Verdana" w:hAnsi="Verdana"/>
          <w:sz w:val="20"/>
          <w:szCs w:val="20"/>
        </w:rPr>
        <w:t>, as the information that they can gain from GCSE results and predicted A-level results</w:t>
      </w:r>
      <w:r w:rsidR="004E19EE" w:rsidRPr="00A3776F">
        <w:rPr>
          <w:rFonts w:ascii="Verdana" w:hAnsi="Verdana"/>
          <w:sz w:val="20"/>
          <w:szCs w:val="20"/>
        </w:rPr>
        <w:t xml:space="preserve"> – which are more often wrong than right (Wyness, 2016) –</w:t>
      </w:r>
      <w:r w:rsidR="0035792A" w:rsidRPr="00A3776F">
        <w:rPr>
          <w:rFonts w:ascii="Verdana" w:hAnsi="Verdana"/>
          <w:sz w:val="20"/>
          <w:szCs w:val="20"/>
        </w:rPr>
        <w:t xml:space="preserve"> will likely be insufficient to </w:t>
      </w:r>
      <w:r w:rsidR="00CA4464" w:rsidRPr="00A3776F">
        <w:rPr>
          <w:rFonts w:ascii="Verdana" w:hAnsi="Verdana"/>
          <w:sz w:val="20"/>
          <w:szCs w:val="20"/>
        </w:rPr>
        <w:t>select students</w:t>
      </w:r>
      <w:r w:rsidR="0035792A" w:rsidRPr="00A3776F">
        <w:rPr>
          <w:rFonts w:ascii="Verdana" w:hAnsi="Verdana"/>
          <w:sz w:val="20"/>
          <w:szCs w:val="20"/>
        </w:rPr>
        <w:t xml:space="preserve">. </w:t>
      </w:r>
      <w:r w:rsidR="004E19EE" w:rsidRPr="00A3776F">
        <w:rPr>
          <w:rFonts w:ascii="Verdana" w:hAnsi="Verdana"/>
          <w:sz w:val="20"/>
          <w:szCs w:val="20"/>
        </w:rPr>
        <w:t>Fortunately, it appears that students believe extension papers are beneficial preparation for undergraduate study; however, their accessibility must be taken into account, in terms of the provision of support from schools, and whether those currently available are appropriate for use at all universities, and not just the most selective.</w:t>
      </w:r>
      <w:r w:rsidR="00C43491" w:rsidRPr="00A3776F">
        <w:rPr>
          <w:rFonts w:ascii="Verdana" w:hAnsi="Verdana"/>
          <w:sz w:val="20"/>
          <w:szCs w:val="20"/>
        </w:rPr>
        <w:t xml:space="preserve"> </w:t>
      </w:r>
    </w:p>
    <w:p w:rsidR="004E19EE" w:rsidRPr="00A3776F" w:rsidRDefault="00C43491" w:rsidP="0025154A">
      <w:pPr>
        <w:rPr>
          <w:rFonts w:ascii="Verdana" w:hAnsi="Verdana"/>
          <w:sz w:val="20"/>
          <w:szCs w:val="20"/>
        </w:rPr>
      </w:pPr>
      <w:r w:rsidRPr="00A3776F">
        <w:rPr>
          <w:rFonts w:ascii="Verdana" w:hAnsi="Verdana"/>
          <w:sz w:val="20"/>
          <w:szCs w:val="20"/>
        </w:rPr>
        <w:t xml:space="preserve">It remains to be seen whether the TMUA can act as a more accessible admissions test, and provide students with preparation for the challenge of university </w:t>
      </w:r>
      <w:r w:rsidR="002931E5" w:rsidRPr="00A3776F">
        <w:rPr>
          <w:rFonts w:ascii="Verdana" w:hAnsi="Verdana"/>
          <w:sz w:val="20"/>
          <w:szCs w:val="20"/>
        </w:rPr>
        <w:t>maths</w:t>
      </w:r>
      <w:r w:rsidRPr="00A3776F">
        <w:rPr>
          <w:rFonts w:ascii="Verdana" w:hAnsi="Verdana"/>
          <w:sz w:val="20"/>
          <w:szCs w:val="20"/>
        </w:rPr>
        <w:t xml:space="preserve">, and universities with more </w:t>
      </w:r>
      <w:r w:rsidR="00CA4464" w:rsidRPr="00A3776F">
        <w:rPr>
          <w:rFonts w:ascii="Verdana" w:hAnsi="Verdana"/>
          <w:sz w:val="20"/>
          <w:szCs w:val="20"/>
        </w:rPr>
        <w:t xml:space="preserve">information </w:t>
      </w:r>
      <w:r w:rsidRPr="00A3776F">
        <w:rPr>
          <w:rFonts w:ascii="Verdana" w:hAnsi="Verdana"/>
          <w:sz w:val="20"/>
          <w:szCs w:val="20"/>
        </w:rPr>
        <w:t xml:space="preserve">from which to select the best students for their courses. </w:t>
      </w:r>
      <w:r w:rsidR="00381F34" w:rsidRPr="00A3776F">
        <w:rPr>
          <w:rFonts w:ascii="Verdana" w:hAnsi="Verdana"/>
          <w:sz w:val="20"/>
          <w:szCs w:val="20"/>
        </w:rPr>
        <w:t xml:space="preserve">Universities should also consider whether they might have a role in promoting the study of Further Maths to prospective applicants if the A-level is to survive this reform programme. </w:t>
      </w:r>
    </w:p>
    <w:p w:rsidR="00735A8E" w:rsidRPr="00A3776F" w:rsidRDefault="00735A8E" w:rsidP="00735A8E">
      <w:pPr>
        <w:pStyle w:val="Heading1"/>
        <w:rPr>
          <w:rFonts w:ascii="Verdana" w:hAnsi="Verdana"/>
          <w:color w:val="auto"/>
          <w:sz w:val="24"/>
          <w:szCs w:val="24"/>
        </w:rPr>
      </w:pPr>
      <w:r w:rsidRPr="00A3776F">
        <w:rPr>
          <w:rFonts w:ascii="Verdana" w:hAnsi="Verdana"/>
          <w:color w:val="auto"/>
          <w:sz w:val="24"/>
          <w:szCs w:val="24"/>
        </w:rPr>
        <w:t>References</w:t>
      </w:r>
    </w:p>
    <w:p w:rsidR="00733115" w:rsidRPr="00A3776F" w:rsidRDefault="00733115" w:rsidP="00B04B96">
      <w:pPr>
        <w:ind w:left="720" w:hanging="720"/>
        <w:rPr>
          <w:rFonts w:ascii="Verdana" w:hAnsi="Verdana"/>
          <w:sz w:val="20"/>
        </w:rPr>
      </w:pPr>
      <w:r w:rsidRPr="00A3776F">
        <w:rPr>
          <w:rFonts w:ascii="Verdana" w:hAnsi="Verdana"/>
          <w:sz w:val="20"/>
        </w:rPr>
        <w:t xml:space="preserve">Darlington, E. (2015). What benefits could extension papers and admissions tests have for university mathematics applications? </w:t>
      </w:r>
      <w:r w:rsidRPr="00A3776F">
        <w:rPr>
          <w:rFonts w:ascii="Verdana" w:hAnsi="Verdana"/>
          <w:i/>
          <w:sz w:val="20"/>
        </w:rPr>
        <w:t>Teaching Mathematics and its Applications</w:t>
      </w:r>
      <w:r w:rsidRPr="00A3776F">
        <w:rPr>
          <w:rFonts w:ascii="Verdana" w:hAnsi="Verdana"/>
          <w:sz w:val="20"/>
        </w:rPr>
        <w:t xml:space="preserve">, </w:t>
      </w:r>
      <w:r w:rsidRPr="00A3776F">
        <w:rPr>
          <w:rFonts w:ascii="Verdana" w:hAnsi="Verdana"/>
          <w:i/>
          <w:sz w:val="20"/>
        </w:rPr>
        <w:t>34</w:t>
      </w:r>
      <w:r w:rsidRPr="00A3776F">
        <w:rPr>
          <w:rFonts w:ascii="Verdana" w:hAnsi="Verdana"/>
          <w:sz w:val="20"/>
        </w:rPr>
        <w:t xml:space="preserve">(4), 179-193. </w:t>
      </w:r>
    </w:p>
    <w:p w:rsidR="00D0709C" w:rsidRPr="00A3776F" w:rsidRDefault="00D0709C" w:rsidP="00B04B96">
      <w:pPr>
        <w:ind w:left="720" w:hanging="720"/>
        <w:rPr>
          <w:rFonts w:ascii="Verdana" w:hAnsi="Verdana"/>
          <w:sz w:val="20"/>
        </w:rPr>
      </w:pPr>
      <w:r w:rsidRPr="00A3776F">
        <w:rPr>
          <w:rFonts w:ascii="Verdana" w:hAnsi="Verdana"/>
          <w:sz w:val="20"/>
        </w:rPr>
        <w:t xml:space="preserve">Darlington, E. &amp; Bowyer, J. (2016) The Mathematics Needs of Higher Education. </w:t>
      </w:r>
      <w:r w:rsidRPr="00A3776F">
        <w:rPr>
          <w:rFonts w:ascii="Verdana" w:hAnsi="Verdana"/>
          <w:i/>
          <w:sz w:val="20"/>
        </w:rPr>
        <w:t>Mathematics Today</w:t>
      </w:r>
      <w:r w:rsidRPr="00A3776F">
        <w:rPr>
          <w:rFonts w:ascii="Verdana" w:hAnsi="Verdana"/>
          <w:sz w:val="20"/>
        </w:rPr>
        <w:t xml:space="preserve">, </w:t>
      </w:r>
      <w:r w:rsidRPr="00A3776F">
        <w:rPr>
          <w:rFonts w:ascii="Verdana" w:hAnsi="Verdana"/>
          <w:i/>
          <w:sz w:val="20"/>
        </w:rPr>
        <w:t>52</w:t>
      </w:r>
      <w:r w:rsidRPr="00A3776F">
        <w:rPr>
          <w:rFonts w:ascii="Verdana" w:hAnsi="Verdana"/>
          <w:sz w:val="20"/>
        </w:rPr>
        <w:t xml:space="preserve">(1), 9. Also available from </w:t>
      </w:r>
      <w:hyperlink r:id="rId12" w:history="1">
        <w:r w:rsidRPr="00A3776F">
          <w:rPr>
            <w:rStyle w:val="Hyperlink"/>
            <w:rFonts w:ascii="Verdana" w:hAnsi="Verdana"/>
            <w:sz w:val="20"/>
          </w:rPr>
          <w:t>http://www.cambridgeassessment.org.uk/insights/the-mathematics-needs-of-higher-education/</w:t>
        </w:r>
      </w:hyperlink>
      <w:r w:rsidRPr="00A3776F">
        <w:rPr>
          <w:rFonts w:ascii="Verdana" w:hAnsi="Verdana"/>
          <w:sz w:val="20"/>
        </w:rPr>
        <w:t xml:space="preserve"> </w:t>
      </w:r>
    </w:p>
    <w:p w:rsidR="00C43491" w:rsidRPr="00A3776F" w:rsidRDefault="00C43491" w:rsidP="00B04B96">
      <w:pPr>
        <w:ind w:left="720" w:hanging="720"/>
        <w:rPr>
          <w:rFonts w:ascii="Verdana" w:hAnsi="Verdana"/>
          <w:sz w:val="20"/>
          <w:szCs w:val="20"/>
        </w:rPr>
      </w:pPr>
      <w:r w:rsidRPr="00A3776F">
        <w:rPr>
          <w:rFonts w:ascii="Verdana" w:hAnsi="Verdana"/>
          <w:sz w:val="20"/>
          <w:szCs w:val="20"/>
        </w:rPr>
        <w:t xml:space="preserve">Joint Council for Qualifications. (2016). </w:t>
      </w:r>
      <w:r w:rsidRPr="00A3776F">
        <w:rPr>
          <w:rFonts w:ascii="Verdana" w:hAnsi="Verdana"/>
          <w:i/>
          <w:sz w:val="20"/>
          <w:szCs w:val="20"/>
        </w:rPr>
        <w:t>A-level results.</w:t>
      </w:r>
      <w:r w:rsidRPr="00A3776F">
        <w:rPr>
          <w:rFonts w:ascii="Verdana" w:hAnsi="Verdana"/>
          <w:sz w:val="20"/>
          <w:szCs w:val="20"/>
        </w:rPr>
        <w:t xml:space="preserve"> Retrieved from </w:t>
      </w:r>
      <w:hyperlink r:id="rId13" w:history="1">
        <w:r w:rsidRPr="00A3776F">
          <w:rPr>
            <w:rStyle w:val="Hyperlink"/>
            <w:rFonts w:ascii="Verdana" w:hAnsi="Verdana"/>
            <w:sz w:val="20"/>
            <w:szCs w:val="20"/>
          </w:rPr>
          <w:t>http://www.jcq.org.uk/examination-results/a-levels</w:t>
        </w:r>
      </w:hyperlink>
      <w:r w:rsidRPr="00A3776F">
        <w:rPr>
          <w:rFonts w:ascii="Verdana" w:hAnsi="Verdana"/>
          <w:sz w:val="20"/>
          <w:szCs w:val="20"/>
        </w:rPr>
        <w:t xml:space="preserve"> </w:t>
      </w:r>
    </w:p>
    <w:p w:rsidR="008F1FD3" w:rsidRPr="00A3776F" w:rsidRDefault="008F1FD3" w:rsidP="00B04B96">
      <w:pPr>
        <w:ind w:left="720" w:hanging="720"/>
        <w:rPr>
          <w:rFonts w:ascii="Verdana" w:hAnsi="Verdana"/>
          <w:sz w:val="20"/>
          <w:szCs w:val="20"/>
        </w:rPr>
      </w:pPr>
      <w:r w:rsidRPr="00A3776F">
        <w:rPr>
          <w:rFonts w:ascii="Verdana" w:hAnsi="Verdana"/>
          <w:sz w:val="20"/>
          <w:szCs w:val="20"/>
        </w:rPr>
        <w:t xml:space="preserve">Smith, G., Wood, L., Coupland, M., Stephenson, B., Crawford, K. &amp; Ball, G. (1996). Constructing mathematical examinations to assess a range of knowledge and skills. </w:t>
      </w:r>
      <w:r w:rsidRPr="00A3776F">
        <w:rPr>
          <w:rFonts w:ascii="Verdana" w:hAnsi="Verdana"/>
          <w:i/>
          <w:sz w:val="20"/>
          <w:szCs w:val="20"/>
        </w:rPr>
        <w:t>International Journal of Mathematical Education in Science and Technology</w:t>
      </w:r>
      <w:r w:rsidRPr="00A3776F">
        <w:rPr>
          <w:rFonts w:ascii="Verdana" w:hAnsi="Verdana"/>
          <w:sz w:val="20"/>
          <w:szCs w:val="20"/>
        </w:rPr>
        <w:t xml:space="preserve">, </w:t>
      </w:r>
      <w:r w:rsidRPr="00A3776F">
        <w:rPr>
          <w:rFonts w:ascii="Verdana" w:hAnsi="Verdana"/>
          <w:i/>
          <w:sz w:val="20"/>
          <w:szCs w:val="20"/>
        </w:rPr>
        <w:t>27</w:t>
      </w:r>
      <w:r w:rsidRPr="00A3776F">
        <w:rPr>
          <w:rFonts w:ascii="Verdana" w:hAnsi="Verdana"/>
          <w:sz w:val="20"/>
          <w:szCs w:val="20"/>
        </w:rPr>
        <w:t>(1), 65-77.</w:t>
      </w:r>
    </w:p>
    <w:p w:rsidR="00735A8E" w:rsidRPr="00A3776F" w:rsidRDefault="00735A8E" w:rsidP="00B04B96">
      <w:pPr>
        <w:ind w:left="720" w:hanging="720"/>
        <w:rPr>
          <w:rFonts w:ascii="Verdana" w:hAnsi="Verdana"/>
          <w:sz w:val="20"/>
          <w:szCs w:val="20"/>
        </w:rPr>
      </w:pPr>
      <w:r w:rsidRPr="00A3776F">
        <w:rPr>
          <w:rFonts w:ascii="Verdana" w:hAnsi="Verdana"/>
          <w:sz w:val="20"/>
          <w:szCs w:val="20"/>
        </w:rPr>
        <w:t xml:space="preserve">UCAS. (2017) </w:t>
      </w:r>
      <w:r w:rsidRPr="00A3776F">
        <w:rPr>
          <w:rFonts w:ascii="Verdana" w:hAnsi="Verdana"/>
          <w:i/>
          <w:sz w:val="20"/>
          <w:szCs w:val="20"/>
        </w:rPr>
        <w:t>UCAS qualification provision survey 2017</w:t>
      </w:r>
      <w:r w:rsidRPr="00A3776F">
        <w:rPr>
          <w:rFonts w:ascii="Verdana" w:hAnsi="Verdana"/>
          <w:sz w:val="20"/>
          <w:szCs w:val="20"/>
        </w:rPr>
        <w:t xml:space="preserve">. Retrieved from </w:t>
      </w:r>
      <w:hyperlink r:id="rId14" w:history="1">
        <w:r w:rsidRPr="00A3776F">
          <w:rPr>
            <w:rStyle w:val="Hyperlink"/>
            <w:rFonts w:ascii="Verdana" w:hAnsi="Verdana"/>
            <w:sz w:val="20"/>
            <w:szCs w:val="20"/>
          </w:rPr>
          <w:t>https://www.ucas.com/file/97306/download?token=WgNl7ig8</w:t>
        </w:r>
      </w:hyperlink>
      <w:r w:rsidRPr="00A3776F">
        <w:rPr>
          <w:rFonts w:ascii="Verdana" w:hAnsi="Verdana"/>
          <w:sz w:val="20"/>
          <w:szCs w:val="20"/>
        </w:rPr>
        <w:t xml:space="preserve"> </w:t>
      </w:r>
    </w:p>
    <w:p w:rsidR="004E19EE" w:rsidRPr="00D909A1" w:rsidRDefault="004E19EE" w:rsidP="00B04B96">
      <w:pPr>
        <w:ind w:left="720" w:hanging="720"/>
        <w:rPr>
          <w:rFonts w:ascii="Verdana" w:hAnsi="Verdana"/>
          <w:sz w:val="20"/>
          <w:szCs w:val="20"/>
        </w:rPr>
      </w:pPr>
      <w:r w:rsidRPr="00A3776F">
        <w:rPr>
          <w:rFonts w:ascii="Verdana" w:hAnsi="Verdana"/>
          <w:sz w:val="20"/>
          <w:szCs w:val="20"/>
        </w:rPr>
        <w:t xml:space="preserve">Wyness, G. (2016). </w:t>
      </w:r>
      <w:r w:rsidRPr="00A3776F">
        <w:rPr>
          <w:rFonts w:ascii="Verdana" w:hAnsi="Verdana"/>
          <w:i/>
          <w:sz w:val="20"/>
          <w:szCs w:val="20"/>
        </w:rPr>
        <w:t>Predicted grades: accuracy and impact</w:t>
      </w:r>
      <w:r w:rsidRPr="00A3776F">
        <w:rPr>
          <w:rFonts w:ascii="Verdana" w:hAnsi="Verdana"/>
          <w:sz w:val="20"/>
          <w:szCs w:val="20"/>
        </w:rPr>
        <w:t>. London: University and College Union.</w:t>
      </w:r>
      <w:r w:rsidRPr="00D909A1">
        <w:rPr>
          <w:rFonts w:ascii="Verdana" w:hAnsi="Verdana"/>
          <w:sz w:val="20"/>
          <w:szCs w:val="20"/>
        </w:rPr>
        <w:t xml:space="preserve"> </w:t>
      </w:r>
    </w:p>
    <w:sectPr w:rsidR="004E19EE" w:rsidRPr="00D909A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9A1" w:rsidRDefault="00D909A1" w:rsidP="00D909A1">
      <w:pPr>
        <w:spacing w:after="0" w:line="240" w:lineRule="auto"/>
      </w:pPr>
      <w:r>
        <w:separator/>
      </w:r>
    </w:p>
  </w:endnote>
  <w:endnote w:type="continuationSeparator" w:id="0">
    <w:p w:rsidR="00D909A1" w:rsidRDefault="00D909A1" w:rsidP="00D9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9A1" w:rsidRDefault="00D909A1" w:rsidP="00D909A1">
      <w:pPr>
        <w:spacing w:after="0" w:line="240" w:lineRule="auto"/>
      </w:pPr>
      <w:r>
        <w:separator/>
      </w:r>
    </w:p>
  </w:footnote>
  <w:footnote w:type="continuationSeparator" w:id="0">
    <w:p w:rsidR="00D909A1" w:rsidRDefault="00D909A1" w:rsidP="00D909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A1" w:rsidRPr="00D909A1" w:rsidRDefault="00D909A1" w:rsidP="00D909A1">
    <w:pPr>
      <w:rPr>
        <w:rFonts w:cstheme="minorHAnsi"/>
        <w:b/>
        <w:sz w:val="30"/>
        <w:highlight w:val="yellow"/>
      </w:rPr>
    </w:pPr>
    <w:r w:rsidRPr="00960CCB">
      <w:rPr>
        <w:rFonts w:ascii="Verdana" w:hAnsi="Verdana"/>
        <w:sz w:val="16"/>
        <w:szCs w:val="16"/>
      </w:rPr>
      <w:t>IMA and CETL-MSOR 2017:</w:t>
    </w:r>
    <w:r w:rsidRPr="00960CCB">
      <w:rPr>
        <w:rFonts w:cstheme="minorHAnsi"/>
        <w:b/>
        <w:sz w:val="30"/>
      </w:rPr>
      <w:t xml:space="preserve"> </w:t>
    </w:r>
    <w:r w:rsidRPr="00960CCB">
      <w:rPr>
        <w:rFonts w:ascii="Verdana" w:hAnsi="Verdana" w:cstheme="minorHAnsi"/>
        <w:sz w:val="18"/>
        <w:szCs w:val="18"/>
      </w:rPr>
      <w:t>Mathematics Education beyond 16: Pathways and Transitions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BCA"/>
    <w:multiLevelType w:val="hybridMultilevel"/>
    <w:tmpl w:val="1AA80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6B64FA"/>
    <w:multiLevelType w:val="hybridMultilevel"/>
    <w:tmpl w:val="150E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AD6F5F"/>
    <w:multiLevelType w:val="hybridMultilevel"/>
    <w:tmpl w:val="B2AE2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291D21"/>
    <w:multiLevelType w:val="hybridMultilevel"/>
    <w:tmpl w:val="4A8A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671B3A"/>
    <w:multiLevelType w:val="hybridMultilevel"/>
    <w:tmpl w:val="6096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862B2F"/>
    <w:multiLevelType w:val="hybridMultilevel"/>
    <w:tmpl w:val="BC909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212858"/>
    <w:multiLevelType w:val="hybridMultilevel"/>
    <w:tmpl w:val="B2AE2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C82B15"/>
    <w:multiLevelType w:val="hybridMultilevel"/>
    <w:tmpl w:val="F3942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5B45890"/>
    <w:multiLevelType w:val="hybridMultilevel"/>
    <w:tmpl w:val="C782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4"/>
  </w:num>
  <w:num w:numId="5">
    <w:abstractNumId w:val="0"/>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4A"/>
    <w:rsid w:val="00023D3B"/>
    <w:rsid w:val="000359F7"/>
    <w:rsid w:val="000513C0"/>
    <w:rsid w:val="00121DF8"/>
    <w:rsid w:val="00131000"/>
    <w:rsid w:val="00164397"/>
    <w:rsid w:val="001A52BE"/>
    <w:rsid w:val="001B4885"/>
    <w:rsid w:val="001D1564"/>
    <w:rsid w:val="001D5E6B"/>
    <w:rsid w:val="001F212F"/>
    <w:rsid w:val="001F262E"/>
    <w:rsid w:val="0020544E"/>
    <w:rsid w:val="0025154A"/>
    <w:rsid w:val="00257641"/>
    <w:rsid w:val="002931E5"/>
    <w:rsid w:val="00294980"/>
    <w:rsid w:val="002A01D4"/>
    <w:rsid w:val="002B3A15"/>
    <w:rsid w:val="002B6259"/>
    <w:rsid w:val="0035792A"/>
    <w:rsid w:val="00363B7F"/>
    <w:rsid w:val="00381F34"/>
    <w:rsid w:val="003862B3"/>
    <w:rsid w:val="00397604"/>
    <w:rsid w:val="00405214"/>
    <w:rsid w:val="00453F36"/>
    <w:rsid w:val="004713C4"/>
    <w:rsid w:val="004717E9"/>
    <w:rsid w:val="0048624C"/>
    <w:rsid w:val="004D6944"/>
    <w:rsid w:val="004E19EE"/>
    <w:rsid w:val="004E77F5"/>
    <w:rsid w:val="00502254"/>
    <w:rsid w:val="00502390"/>
    <w:rsid w:val="005101D5"/>
    <w:rsid w:val="00530DCD"/>
    <w:rsid w:val="005B07A7"/>
    <w:rsid w:val="00607C02"/>
    <w:rsid w:val="00636A98"/>
    <w:rsid w:val="006372F6"/>
    <w:rsid w:val="00663FE2"/>
    <w:rsid w:val="00694C81"/>
    <w:rsid w:val="006C0922"/>
    <w:rsid w:val="006F5268"/>
    <w:rsid w:val="00733115"/>
    <w:rsid w:val="00735A8E"/>
    <w:rsid w:val="00745974"/>
    <w:rsid w:val="00797621"/>
    <w:rsid w:val="007A0312"/>
    <w:rsid w:val="007A4532"/>
    <w:rsid w:val="007E1640"/>
    <w:rsid w:val="0080617C"/>
    <w:rsid w:val="00873163"/>
    <w:rsid w:val="00881C48"/>
    <w:rsid w:val="008A39A0"/>
    <w:rsid w:val="008C190C"/>
    <w:rsid w:val="008D63A2"/>
    <w:rsid w:val="008F01DF"/>
    <w:rsid w:val="008F1FD3"/>
    <w:rsid w:val="008F7554"/>
    <w:rsid w:val="009030B0"/>
    <w:rsid w:val="009760C4"/>
    <w:rsid w:val="009C2D43"/>
    <w:rsid w:val="009C475C"/>
    <w:rsid w:val="009E7B1D"/>
    <w:rsid w:val="00A3776F"/>
    <w:rsid w:val="00A46632"/>
    <w:rsid w:val="00A54674"/>
    <w:rsid w:val="00A6052A"/>
    <w:rsid w:val="00AB267D"/>
    <w:rsid w:val="00B04B96"/>
    <w:rsid w:val="00B250AB"/>
    <w:rsid w:val="00C24CFD"/>
    <w:rsid w:val="00C43491"/>
    <w:rsid w:val="00C5061C"/>
    <w:rsid w:val="00C76292"/>
    <w:rsid w:val="00CA4464"/>
    <w:rsid w:val="00CC7D2D"/>
    <w:rsid w:val="00D0709C"/>
    <w:rsid w:val="00D2739C"/>
    <w:rsid w:val="00D41E36"/>
    <w:rsid w:val="00D7242D"/>
    <w:rsid w:val="00D909A1"/>
    <w:rsid w:val="00DB33D1"/>
    <w:rsid w:val="00E62982"/>
    <w:rsid w:val="00E6453D"/>
    <w:rsid w:val="00EB4338"/>
    <w:rsid w:val="00F07151"/>
    <w:rsid w:val="00F46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674"/>
  </w:style>
  <w:style w:type="paragraph" w:styleId="Heading1">
    <w:name w:val="heading 1"/>
    <w:basedOn w:val="Normal"/>
    <w:next w:val="Normal"/>
    <w:link w:val="Heading1Char"/>
    <w:uiPriority w:val="9"/>
    <w:qFormat/>
    <w:rsid w:val="00A546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46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546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546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467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5467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546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5467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5467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6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46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546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546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5467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5467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546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5467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5467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54674"/>
    <w:pPr>
      <w:spacing w:line="240" w:lineRule="auto"/>
    </w:pPr>
    <w:rPr>
      <w:b/>
      <w:bCs/>
      <w:color w:val="4F81BD" w:themeColor="accent1"/>
      <w:sz w:val="18"/>
      <w:szCs w:val="18"/>
    </w:rPr>
  </w:style>
  <w:style w:type="paragraph" w:styleId="Title">
    <w:name w:val="Title"/>
    <w:basedOn w:val="Normal"/>
    <w:next w:val="Normal"/>
    <w:link w:val="TitleChar"/>
    <w:uiPriority w:val="10"/>
    <w:qFormat/>
    <w:rsid w:val="00A546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67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546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5467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54674"/>
    <w:rPr>
      <w:b/>
      <w:bCs/>
    </w:rPr>
  </w:style>
  <w:style w:type="character" w:styleId="Emphasis">
    <w:name w:val="Emphasis"/>
    <w:basedOn w:val="DefaultParagraphFont"/>
    <w:uiPriority w:val="20"/>
    <w:qFormat/>
    <w:rsid w:val="00A54674"/>
    <w:rPr>
      <w:i/>
      <w:iCs/>
    </w:rPr>
  </w:style>
  <w:style w:type="paragraph" w:styleId="NoSpacing">
    <w:name w:val="No Spacing"/>
    <w:uiPriority w:val="1"/>
    <w:qFormat/>
    <w:rsid w:val="00A54674"/>
    <w:pPr>
      <w:spacing w:after="0" w:line="240" w:lineRule="auto"/>
    </w:pPr>
  </w:style>
  <w:style w:type="paragraph" w:styleId="ListParagraph">
    <w:name w:val="List Paragraph"/>
    <w:basedOn w:val="Normal"/>
    <w:uiPriority w:val="34"/>
    <w:qFormat/>
    <w:rsid w:val="00A54674"/>
    <w:pPr>
      <w:ind w:left="720"/>
      <w:contextualSpacing/>
    </w:pPr>
  </w:style>
  <w:style w:type="paragraph" w:styleId="Quote">
    <w:name w:val="Quote"/>
    <w:basedOn w:val="Normal"/>
    <w:next w:val="Normal"/>
    <w:link w:val="QuoteChar"/>
    <w:uiPriority w:val="29"/>
    <w:qFormat/>
    <w:rsid w:val="00A54674"/>
    <w:rPr>
      <w:i/>
      <w:iCs/>
      <w:color w:val="000000" w:themeColor="text1"/>
    </w:rPr>
  </w:style>
  <w:style w:type="character" w:customStyle="1" w:styleId="QuoteChar">
    <w:name w:val="Quote Char"/>
    <w:basedOn w:val="DefaultParagraphFont"/>
    <w:link w:val="Quote"/>
    <w:uiPriority w:val="29"/>
    <w:rsid w:val="00A54674"/>
    <w:rPr>
      <w:i/>
      <w:iCs/>
      <w:color w:val="000000" w:themeColor="text1"/>
    </w:rPr>
  </w:style>
  <w:style w:type="paragraph" w:styleId="IntenseQuote">
    <w:name w:val="Intense Quote"/>
    <w:basedOn w:val="Normal"/>
    <w:next w:val="Normal"/>
    <w:link w:val="IntenseQuoteChar"/>
    <w:uiPriority w:val="30"/>
    <w:qFormat/>
    <w:rsid w:val="00A546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54674"/>
    <w:rPr>
      <w:b/>
      <w:bCs/>
      <w:i/>
      <w:iCs/>
      <w:color w:val="4F81BD" w:themeColor="accent1"/>
    </w:rPr>
  </w:style>
  <w:style w:type="character" w:styleId="SubtleEmphasis">
    <w:name w:val="Subtle Emphasis"/>
    <w:basedOn w:val="DefaultParagraphFont"/>
    <w:uiPriority w:val="19"/>
    <w:qFormat/>
    <w:rsid w:val="00A54674"/>
    <w:rPr>
      <w:i/>
      <w:iCs/>
      <w:color w:val="808080" w:themeColor="text1" w:themeTint="7F"/>
    </w:rPr>
  </w:style>
  <w:style w:type="character" w:styleId="IntenseEmphasis">
    <w:name w:val="Intense Emphasis"/>
    <w:basedOn w:val="DefaultParagraphFont"/>
    <w:uiPriority w:val="21"/>
    <w:qFormat/>
    <w:rsid w:val="00A54674"/>
    <w:rPr>
      <w:b/>
      <w:bCs/>
      <w:i/>
      <w:iCs/>
      <w:color w:val="4F81BD" w:themeColor="accent1"/>
    </w:rPr>
  </w:style>
  <w:style w:type="character" w:styleId="SubtleReference">
    <w:name w:val="Subtle Reference"/>
    <w:basedOn w:val="DefaultParagraphFont"/>
    <w:uiPriority w:val="31"/>
    <w:qFormat/>
    <w:rsid w:val="00A54674"/>
    <w:rPr>
      <w:smallCaps/>
      <w:color w:val="C0504D" w:themeColor="accent2"/>
      <w:u w:val="single"/>
    </w:rPr>
  </w:style>
  <w:style w:type="character" w:styleId="IntenseReference">
    <w:name w:val="Intense Reference"/>
    <w:basedOn w:val="DefaultParagraphFont"/>
    <w:uiPriority w:val="32"/>
    <w:qFormat/>
    <w:rsid w:val="00A54674"/>
    <w:rPr>
      <w:b/>
      <w:bCs/>
      <w:smallCaps/>
      <w:color w:val="C0504D" w:themeColor="accent2"/>
      <w:spacing w:val="5"/>
      <w:u w:val="single"/>
    </w:rPr>
  </w:style>
  <w:style w:type="character" w:styleId="BookTitle">
    <w:name w:val="Book Title"/>
    <w:basedOn w:val="DefaultParagraphFont"/>
    <w:uiPriority w:val="33"/>
    <w:qFormat/>
    <w:rsid w:val="00A54674"/>
    <w:rPr>
      <w:b/>
      <w:bCs/>
      <w:smallCaps/>
      <w:spacing w:val="5"/>
    </w:rPr>
  </w:style>
  <w:style w:type="paragraph" w:styleId="TOCHeading">
    <w:name w:val="TOC Heading"/>
    <w:basedOn w:val="Heading1"/>
    <w:next w:val="Normal"/>
    <w:uiPriority w:val="39"/>
    <w:semiHidden/>
    <w:unhideWhenUsed/>
    <w:qFormat/>
    <w:rsid w:val="00A54674"/>
    <w:pPr>
      <w:outlineLvl w:val="9"/>
    </w:pPr>
  </w:style>
  <w:style w:type="paragraph" w:customStyle="1" w:styleId="Default">
    <w:name w:val="Default"/>
    <w:rsid w:val="0025154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71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7E9"/>
    <w:rPr>
      <w:rFonts w:ascii="Tahoma" w:hAnsi="Tahoma" w:cs="Tahoma"/>
      <w:sz w:val="16"/>
      <w:szCs w:val="16"/>
    </w:rPr>
  </w:style>
  <w:style w:type="character" w:styleId="CommentReference">
    <w:name w:val="annotation reference"/>
    <w:basedOn w:val="DefaultParagraphFont"/>
    <w:uiPriority w:val="99"/>
    <w:semiHidden/>
    <w:unhideWhenUsed/>
    <w:rsid w:val="00363B7F"/>
    <w:rPr>
      <w:sz w:val="16"/>
      <w:szCs w:val="16"/>
    </w:rPr>
  </w:style>
  <w:style w:type="paragraph" w:styleId="CommentText">
    <w:name w:val="annotation text"/>
    <w:basedOn w:val="Normal"/>
    <w:link w:val="CommentTextChar"/>
    <w:uiPriority w:val="99"/>
    <w:semiHidden/>
    <w:unhideWhenUsed/>
    <w:rsid w:val="00363B7F"/>
    <w:pPr>
      <w:spacing w:line="240" w:lineRule="auto"/>
    </w:pPr>
    <w:rPr>
      <w:sz w:val="20"/>
      <w:szCs w:val="20"/>
    </w:rPr>
  </w:style>
  <w:style w:type="character" w:customStyle="1" w:styleId="CommentTextChar">
    <w:name w:val="Comment Text Char"/>
    <w:basedOn w:val="DefaultParagraphFont"/>
    <w:link w:val="CommentText"/>
    <w:uiPriority w:val="99"/>
    <w:semiHidden/>
    <w:rsid w:val="00363B7F"/>
    <w:rPr>
      <w:sz w:val="20"/>
      <w:szCs w:val="20"/>
    </w:rPr>
  </w:style>
  <w:style w:type="paragraph" w:styleId="CommentSubject">
    <w:name w:val="annotation subject"/>
    <w:basedOn w:val="CommentText"/>
    <w:next w:val="CommentText"/>
    <w:link w:val="CommentSubjectChar"/>
    <w:uiPriority w:val="99"/>
    <w:semiHidden/>
    <w:unhideWhenUsed/>
    <w:rsid w:val="00363B7F"/>
    <w:rPr>
      <w:b/>
      <w:bCs/>
    </w:rPr>
  </w:style>
  <w:style w:type="character" w:customStyle="1" w:styleId="CommentSubjectChar">
    <w:name w:val="Comment Subject Char"/>
    <w:basedOn w:val="CommentTextChar"/>
    <w:link w:val="CommentSubject"/>
    <w:uiPriority w:val="99"/>
    <w:semiHidden/>
    <w:rsid w:val="00363B7F"/>
    <w:rPr>
      <w:b/>
      <w:bCs/>
      <w:sz w:val="20"/>
      <w:szCs w:val="20"/>
    </w:rPr>
  </w:style>
  <w:style w:type="character" w:styleId="Hyperlink">
    <w:name w:val="Hyperlink"/>
    <w:basedOn w:val="DefaultParagraphFont"/>
    <w:uiPriority w:val="99"/>
    <w:unhideWhenUsed/>
    <w:rsid w:val="00735A8E"/>
    <w:rPr>
      <w:color w:val="0000FF" w:themeColor="hyperlink"/>
      <w:u w:val="single"/>
    </w:rPr>
  </w:style>
  <w:style w:type="paragraph" w:styleId="Header">
    <w:name w:val="header"/>
    <w:basedOn w:val="Normal"/>
    <w:link w:val="HeaderChar"/>
    <w:uiPriority w:val="99"/>
    <w:unhideWhenUsed/>
    <w:rsid w:val="00D90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9A1"/>
  </w:style>
  <w:style w:type="paragraph" w:styleId="Footer">
    <w:name w:val="footer"/>
    <w:basedOn w:val="Normal"/>
    <w:link w:val="FooterChar"/>
    <w:uiPriority w:val="99"/>
    <w:unhideWhenUsed/>
    <w:rsid w:val="00D90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9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674"/>
  </w:style>
  <w:style w:type="paragraph" w:styleId="Heading1">
    <w:name w:val="heading 1"/>
    <w:basedOn w:val="Normal"/>
    <w:next w:val="Normal"/>
    <w:link w:val="Heading1Char"/>
    <w:uiPriority w:val="9"/>
    <w:qFormat/>
    <w:rsid w:val="00A546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46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546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546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5467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5467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546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5467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5467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6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46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546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546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5467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5467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546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5467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5467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54674"/>
    <w:pPr>
      <w:spacing w:line="240" w:lineRule="auto"/>
    </w:pPr>
    <w:rPr>
      <w:b/>
      <w:bCs/>
      <w:color w:val="4F81BD" w:themeColor="accent1"/>
      <w:sz w:val="18"/>
      <w:szCs w:val="18"/>
    </w:rPr>
  </w:style>
  <w:style w:type="paragraph" w:styleId="Title">
    <w:name w:val="Title"/>
    <w:basedOn w:val="Normal"/>
    <w:next w:val="Normal"/>
    <w:link w:val="TitleChar"/>
    <w:uiPriority w:val="10"/>
    <w:qFormat/>
    <w:rsid w:val="00A546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67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546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5467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54674"/>
    <w:rPr>
      <w:b/>
      <w:bCs/>
    </w:rPr>
  </w:style>
  <w:style w:type="character" w:styleId="Emphasis">
    <w:name w:val="Emphasis"/>
    <w:basedOn w:val="DefaultParagraphFont"/>
    <w:uiPriority w:val="20"/>
    <w:qFormat/>
    <w:rsid w:val="00A54674"/>
    <w:rPr>
      <w:i/>
      <w:iCs/>
    </w:rPr>
  </w:style>
  <w:style w:type="paragraph" w:styleId="NoSpacing">
    <w:name w:val="No Spacing"/>
    <w:uiPriority w:val="1"/>
    <w:qFormat/>
    <w:rsid w:val="00A54674"/>
    <w:pPr>
      <w:spacing w:after="0" w:line="240" w:lineRule="auto"/>
    </w:pPr>
  </w:style>
  <w:style w:type="paragraph" w:styleId="ListParagraph">
    <w:name w:val="List Paragraph"/>
    <w:basedOn w:val="Normal"/>
    <w:uiPriority w:val="34"/>
    <w:qFormat/>
    <w:rsid w:val="00A54674"/>
    <w:pPr>
      <w:ind w:left="720"/>
      <w:contextualSpacing/>
    </w:pPr>
  </w:style>
  <w:style w:type="paragraph" w:styleId="Quote">
    <w:name w:val="Quote"/>
    <w:basedOn w:val="Normal"/>
    <w:next w:val="Normal"/>
    <w:link w:val="QuoteChar"/>
    <w:uiPriority w:val="29"/>
    <w:qFormat/>
    <w:rsid w:val="00A54674"/>
    <w:rPr>
      <w:i/>
      <w:iCs/>
      <w:color w:val="000000" w:themeColor="text1"/>
    </w:rPr>
  </w:style>
  <w:style w:type="character" w:customStyle="1" w:styleId="QuoteChar">
    <w:name w:val="Quote Char"/>
    <w:basedOn w:val="DefaultParagraphFont"/>
    <w:link w:val="Quote"/>
    <w:uiPriority w:val="29"/>
    <w:rsid w:val="00A54674"/>
    <w:rPr>
      <w:i/>
      <w:iCs/>
      <w:color w:val="000000" w:themeColor="text1"/>
    </w:rPr>
  </w:style>
  <w:style w:type="paragraph" w:styleId="IntenseQuote">
    <w:name w:val="Intense Quote"/>
    <w:basedOn w:val="Normal"/>
    <w:next w:val="Normal"/>
    <w:link w:val="IntenseQuoteChar"/>
    <w:uiPriority w:val="30"/>
    <w:qFormat/>
    <w:rsid w:val="00A546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54674"/>
    <w:rPr>
      <w:b/>
      <w:bCs/>
      <w:i/>
      <w:iCs/>
      <w:color w:val="4F81BD" w:themeColor="accent1"/>
    </w:rPr>
  </w:style>
  <w:style w:type="character" w:styleId="SubtleEmphasis">
    <w:name w:val="Subtle Emphasis"/>
    <w:basedOn w:val="DefaultParagraphFont"/>
    <w:uiPriority w:val="19"/>
    <w:qFormat/>
    <w:rsid w:val="00A54674"/>
    <w:rPr>
      <w:i/>
      <w:iCs/>
      <w:color w:val="808080" w:themeColor="text1" w:themeTint="7F"/>
    </w:rPr>
  </w:style>
  <w:style w:type="character" w:styleId="IntenseEmphasis">
    <w:name w:val="Intense Emphasis"/>
    <w:basedOn w:val="DefaultParagraphFont"/>
    <w:uiPriority w:val="21"/>
    <w:qFormat/>
    <w:rsid w:val="00A54674"/>
    <w:rPr>
      <w:b/>
      <w:bCs/>
      <w:i/>
      <w:iCs/>
      <w:color w:val="4F81BD" w:themeColor="accent1"/>
    </w:rPr>
  </w:style>
  <w:style w:type="character" w:styleId="SubtleReference">
    <w:name w:val="Subtle Reference"/>
    <w:basedOn w:val="DefaultParagraphFont"/>
    <w:uiPriority w:val="31"/>
    <w:qFormat/>
    <w:rsid w:val="00A54674"/>
    <w:rPr>
      <w:smallCaps/>
      <w:color w:val="C0504D" w:themeColor="accent2"/>
      <w:u w:val="single"/>
    </w:rPr>
  </w:style>
  <w:style w:type="character" w:styleId="IntenseReference">
    <w:name w:val="Intense Reference"/>
    <w:basedOn w:val="DefaultParagraphFont"/>
    <w:uiPriority w:val="32"/>
    <w:qFormat/>
    <w:rsid w:val="00A54674"/>
    <w:rPr>
      <w:b/>
      <w:bCs/>
      <w:smallCaps/>
      <w:color w:val="C0504D" w:themeColor="accent2"/>
      <w:spacing w:val="5"/>
      <w:u w:val="single"/>
    </w:rPr>
  </w:style>
  <w:style w:type="character" w:styleId="BookTitle">
    <w:name w:val="Book Title"/>
    <w:basedOn w:val="DefaultParagraphFont"/>
    <w:uiPriority w:val="33"/>
    <w:qFormat/>
    <w:rsid w:val="00A54674"/>
    <w:rPr>
      <w:b/>
      <w:bCs/>
      <w:smallCaps/>
      <w:spacing w:val="5"/>
    </w:rPr>
  </w:style>
  <w:style w:type="paragraph" w:styleId="TOCHeading">
    <w:name w:val="TOC Heading"/>
    <w:basedOn w:val="Heading1"/>
    <w:next w:val="Normal"/>
    <w:uiPriority w:val="39"/>
    <w:semiHidden/>
    <w:unhideWhenUsed/>
    <w:qFormat/>
    <w:rsid w:val="00A54674"/>
    <w:pPr>
      <w:outlineLvl w:val="9"/>
    </w:pPr>
  </w:style>
  <w:style w:type="paragraph" w:customStyle="1" w:styleId="Default">
    <w:name w:val="Default"/>
    <w:rsid w:val="0025154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71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7E9"/>
    <w:rPr>
      <w:rFonts w:ascii="Tahoma" w:hAnsi="Tahoma" w:cs="Tahoma"/>
      <w:sz w:val="16"/>
      <w:szCs w:val="16"/>
    </w:rPr>
  </w:style>
  <w:style w:type="character" w:styleId="CommentReference">
    <w:name w:val="annotation reference"/>
    <w:basedOn w:val="DefaultParagraphFont"/>
    <w:uiPriority w:val="99"/>
    <w:semiHidden/>
    <w:unhideWhenUsed/>
    <w:rsid w:val="00363B7F"/>
    <w:rPr>
      <w:sz w:val="16"/>
      <w:szCs w:val="16"/>
    </w:rPr>
  </w:style>
  <w:style w:type="paragraph" w:styleId="CommentText">
    <w:name w:val="annotation text"/>
    <w:basedOn w:val="Normal"/>
    <w:link w:val="CommentTextChar"/>
    <w:uiPriority w:val="99"/>
    <w:semiHidden/>
    <w:unhideWhenUsed/>
    <w:rsid w:val="00363B7F"/>
    <w:pPr>
      <w:spacing w:line="240" w:lineRule="auto"/>
    </w:pPr>
    <w:rPr>
      <w:sz w:val="20"/>
      <w:szCs w:val="20"/>
    </w:rPr>
  </w:style>
  <w:style w:type="character" w:customStyle="1" w:styleId="CommentTextChar">
    <w:name w:val="Comment Text Char"/>
    <w:basedOn w:val="DefaultParagraphFont"/>
    <w:link w:val="CommentText"/>
    <w:uiPriority w:val="99"/>
    <w:semiHidden/>
    <w:rsid w:val="00363B7F"/>
    <w:rPr>
      <w:sz w:val="20"/>
      <w:szCs w:val="20"/>
    </w:rPr>
  </w:style>
  <w:style w:type="paragraph" w:styleId="CommentSubject">
    <w:name w:val="annotation subject"/>
    <w:basedOn w:val="CommentText"/>
    <w:next w:val="CommentText"/>
    <w:link w:val="CommentSubjectChar"/>
    <w:uiPriority w:val="99"/>
    <w:semiHidden/>
    <w:unhideWhenUsed/>
    <w:rsid w:val="00363B7F"/>
    <w:rPr>
      <w:b/>
      <w:bCs/>
    </w:rPr>
  </w:style>
  <w:style w:type="character" w:customStyle="1" w:styleId="CommentSubjectChar">
    <w:name w:val="Comment Subject Char"/>
    <w:basedOn w:val="CommentTextChar"/>
    <w:link w:val="CommentSubject"/>
    <w:uiPriority w:val="99"/>
    <w:semiHidden/>
    <w:rsid w:val="00363B7F"/>
    <w:rPr>
      <w:b/>
      <w:bCs/>
      <w:sz w:val="20"/>
      <w:szCs w:val="20"/>
    </w:rPr>
  </w:style>
  <w:style w:type="character" w:styleId="Hyperlink">
    <w:name w:val="Hyperlink"/>
    <w:basedOn w:val="DefaultParagraphFont"/>
    <w:uiPriority w:val="99"/>
    <w:unhideWhenUsed/>
    <w:rsid w:val="00735A8E"/>
    <w:rPr>
      <w:color w:val="0000FF" w:themeColor="hyperlink"/>
      <w:u w:val="single"/>
    </w:rPr>
  </w:style>
  <w:style w:type="paragraph" w:styleId="Header">
    <w:name w:val="header"/>
    <w:basedOn w:val="Normal"/>
    <w:link w:val="HeaderChar"/>
    <w:uiPriority w:val="99"/>
    <w:unhideWhenUsed/>
    <w:rsid w:val="00D90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9A1"/>
  </w:style>
  <w:style w:type="paragraph" w:styleId="Footer">
    <w:name w:val="footer"/>
    <w:basedOn w:val="Normal"/>
    <w:link w:val="FooterChar"/>
    <w:uiPriority w:val="99"/>
    <w:unhideWhenUsed/>
    <w:rsid w:val="00D90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jcq.org.uk/examination-results/a-level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mbridgeassessment.org.uk/insights/the-mathematics-needs-of-higher-educ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ucas.com/file/97306/download?token=WgNl7ig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AS-level</c:v>
                </c:pt>
              </c:strCache>
            </c:strRef>
          </c:tx>
          <c:marker>
            <c:symbol val="none"/>
          </c:marker>
          <c:cat>
            <c:numRef>
              <c:f>Sheet1!$A$2:$A$14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Sheet1!$B$2:$B$14</c:f>
              <c:numCache>
                <c:formatCode>General</c:formatCode>
                <c:ptCount val="13"/>
                <c:pt idx="0">
                  <c:v>3980</c:v>
                </c:pt>
                <c:pt idx="1">
                  <c:v>5054</c:v>
                </c:pt>
                <c:pt idx="2">
                  <c:v>6292</c:v>
                </c:pt>
                <c:pt idx="3">
                  <c:v>7426</c:v>
                </c:pt>
                <c:pt idx="4">
                  <c:v>8945</c:v>
                </c:pt>
                <c:pt idx="5">
                  <c:v>13165</c:v>
                </c:pt>
                <c:pt idx="6">
                  <c:v>14884</c:v>
                </c:pt>
                <c:pt idx="7">
                  <c:v>18555</c:v>
                </c:pt>
                <c:pt idx="8">
                  <c:v>20954</c:v>
                </c:pt>
                <c:pt idx="9">
                  <c:v>22601</c:v>
                </c:pt>
                <c:pt idx="10">
                  <c:v>24530</c:v>
                </c:pt>
                <c:pt idx="11">
                  <c:v>26742</c:v>
                </c:pt>
                <c:pt idx="12">
                  <c:v>27034</c:v>
                </c:pt>
              </c:numCache>
            </c:numRef>
          </c:val>
          <c:smooth val="0"/>
        </c:ser>
        <c:ser>
          <c:idx val="1"/>
          <c:order val="1"/>
          <c:tx>
            <c:strRef>
              <c:f>Sheet1!$C$1</c:f>
              <c:strCache>
                <c:ptCount val="1"/>
                <c:pt idx="0">
                  <c:v>A-level</c:v>
                </c:pt>
              </c:strCache>
            </c:strRef>
          </c:tx>
          <c:marker>
            <c:symbol val="none"/>
          </c:marker>
          <c:cat>
            <c:numRef>
              <c:f>Sheet1!$A$2:$A$14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Sheet1!$C$2:$C$14</c:f>
              <c:numCache>
                <c:formatCode>General</c:formatCode>
                <c:ptCount val="13"/>
                <c:pt idx="0">
                  <c:v>5720</c:v>
                </c:pt>
                <c:pt idx="1">
                  <c:v>5933</c:v>
                </c:pt>
                <c:pt idx="2">
                  <c:v>7270</c:v>
                </c:pt>
                <c:pt idx="3">
                  <c:v>7872</c:v>
                </c:pt>
                <c:pt idx="4">
                  <c:v>9091</c:v>
                </c:pt>
                <c:pt idx="5">
                  <c:v>10473</c:v>
                </c:pt>
                <c:pt idx="6">
                  <c:v>11682</c:v>
                </c:pt>
                <c:pt idx="7">
                  <c:v>12287</c:v>
                </c:pt>
                <c:pt idx="8">
                  <c:v>13223</c:v>
                </c:pt>
                <c:pt idx="9">
                  <c:v>13821</c:v>
                </c:pt>
                <c:pt idx="10">
                  <c:v>14028</c:v>
                </c:pt>
                <c:pt idx="11">
                  <c:v>14993</c:v>
                </c:pt>
                <c:pt idx="12">
                  <c:v>15257</c:v>
                </c:pt>
              </c:numCache>
            </c:numRef>
          </c:val>
          <c:smooth val="0"/>
        </c:ser>
        <c:dLbls>
          <c:showLegendKey val="0"/>
          <c:showVal val="0"/>
          <c:showCatName val="0"/>
          <c:showSerName val="0"/>
          <c:showPercent val="0"/>
          <c:showBubbleSize val="0"/>
        </c:dLbls>
        <c:marker val="1"/>
        <c:smooth val="0"/>
        <c:axId val="107589632"/>
        <c:axId val="116998144"/>
      </c:lineChart>
      <c:catAx>
        <c:axId val="107589632"/>
        <c:scaling>
          <c:orientation val="minMax"/>
        </c:scaling>
        <c:delete val="0"/>
        <c:axPos val="b"/>
        <c:title>
          <c:tx>
            <c:rich>
              <a:bodyPr/>
              <a:lstStyle/>
              <a:p>
                <a:pPr>
                  <a:defRPr/>
                </a:pPr>
                <a:r>
                  <a:rPr lang="en-GB"/>
                  <a:t>Year</a:t>
                </a:r>
              </a:p>
            </c:rich>
          </c:tx>
          <c:overlay val="0"/>
        </c:title>
        <c:numFmt formatCode="General" sourceLinked="1"/>
        <c:majorTickMark val="out"/>
        <c:minorTickMark val="none"/>
        <c:tickLblPos val="nextTo"/>
        <c:crossAx val="116998144"/>
        <c:crosses val="autoZero"/>
        <c:auto val="1"/>
        <c:lblAlgn val="ctr"/>
        <c:lblOffset val="100"/>
        <c:noMultiLvlLbl val="0"/>
      </c:catAx>
      <c:valAx>
        <c:axId val="116998144"/>
        <c:scaling>
          <c:orientation val="minMax"/>
        </c:scaling>
        <c:delete val="0"/>
        <c:axPos val="l"/>
        <c:majorGridlines/>
        <c:title>
          <c:tx>
            <c:rich>
              <a:bodyPr rot="-5400000" vert="horz"/>
              <a:lstStyle/>
              <a:p>
                <a:pPr>
                  <a:defRPr/>
                </a:pPr>
                <a:r>
                  <a:rPr lang="en-GB"/>
                  <a:t>Total Awarded</a:t>
                </a:r>
              </a:p>
            </c:rich>
          </c:tx>
          <c:overlay val="0"/>
        </c:title>
        <c:numFmt formatCode="General" sourceLinked="1"/>
        <c:majorTickMark val="out"/>
        <c:minorTickMark val="none"/>
        <c:tickLblPos val="nextTo"/>
        <c:crossAx val="107589632"/>
        <c:crosses val="autoZero"/>
        <c:crossBetween val="between"/>
      </c:valAx>
    </c:plotArea>
    <c:legend>
      <c:legendPos val="r"/>
      <c:overlay val="0"/>
    </c:legend>
    <c:plotVisOnly val="1"/>
    <c:dispBlanksAs val="gap"/>
    <c:showDLblsOverMax val="0"/>
  </c:chart>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Maths</a:t>
            </a:r>
          </a:p>
        </c:rich>
      </c:tx>
      <c:overlay val="0"/>
    </c:title>
    <c:autoTitleDeleted val="0"/>
    <c:plotArea>
      <c:layout/>
      <c:barChart>
        <c:barDir val="bar"/>
        <c:grouping val="percentStacked"/>
        <c:varyColors val="0"/>
        <c:ser>
          <c:idx val="0"/>
          <c:order val="0"/>
          <c:tx>
            <c:strRef>
              <c:f>Sheet1!$B$1</c:f>
              <c:strCache>
                <c:ptCount val="1"/>
                <c:pt idx="0">
                  <c:v>Good Preparation</c:v>
                </c:pt>
              </c:strCache>
            </c:strRef>
          </c:tx>
          <c:invertIfNegative val="0"/>
          <c:cat>
            <c:strRef>
              <c:f>Sheet1!$A$2:$A$13</c:f>
              <c:strCache>
                <c:ptCount val="12"/>
                <c:pt idx="0">
                  <c:v>Mathematics (n=902)</c:v>
                </c:pt>
                <c:pt idx="1">
                  <c:v>Medicine (n=263)</c:v>
                </c:pt>
                <c:pt idx="2">
                  <c:v>Psychology (n=168)</c:v>
                </c:pt>
                <c:pt idx="3">
                  <c:v>Geography (n=179)</c:v>
                </c:pt>
                <c:pt idx="4">
                  <c:v>Architecture (n=37)</c:v>
                </c:pt>
                <c:pt idx="5">
                  <c:v>Computer Science (n=124)</c:v>
                </c:pt>
                <c:pt idx="6">
                  <c:v>Bioscience (n=361)</c:v>
                </c:pt>
                <c:pt idx="7">
                  <c:v>Physics (n=486)</c:v>
                </c:pt>
                <c:pt idx="8">
                  <c:v>Chemistry (n=326)</c:v>
                </c:pt>
                <c:pt idx="9">
                  <c:v>Economics (n=228)</c:v>
                </c:pt>
                <c:pt idx="10">
                  <c:v>Business (n=98)</c:v>
                </c:pt>
                <c:pt idx="11">
                  <c:v>Engineering (n=445)</c:v>
                </c:pt>
              </c:strCache>
            </c:strRef>
          </c:cat>
          <c:val>
            <c:numRef>
              <c:f>Sheet1!$B$2:$B$13</c:f>
              <c:numCache>
                <c:formatCode>General</c:formatCode>
                <c:ptCount val="12"/>
                <c:pt idx="0">
                  <c:v>558</c:v>
                </c:pt>
                <c:pt idx="1">
                  <c:v>172</c:v>
                </c:pt>
                <c:pt idx="2">
                  <c:v>120</c:v>
                </c:pt>
                <c:pt idx="3">
                  <c:v>128</c:v>
                </c:pt>
                <c:pt idx="4">
                  <c:v>28</c:v>
                </c:pt>
                <c:pt idx="5">
                  <c:v>94</c:v>
                </c:pt>
                <c:pt idx="6">
                  <c:v>276</c:v>
                </c:pt>
                <c:pt idx="7">
                  <c:v>384</c:v>
                </c:pt>
                <c:pt idx="8">
                  <c:v>269</c:v>
                </c:pt>
                <c:pt idx="9">
                  <c:v>190</c:v>
                </c:pt>
                <c:pt idx="10">
                  <c:v>82</c:v>
                </c:pt>
                <c:pt idx="11">
                  <c:v>384</c:v>
                </c:pt>
              </c:numCache>
            </c:numRef>
          </c:val>
        </c:ser>
        <c:ser>
          <c:idx val="1"/>
          <c:order val="1"/>
          <c:tx>
            <c:strRef>
              <c:f>Sheet1!$C$1</c:f>
              <c:strCache>
                <c:ptCount val="1"/>
                <c:pt idx="0">
                  <c:v>Neither Good Nor Bad Preparation</c:v>
                </c:pt>
              </c:strCache>
            </c:strRef>
          </c:tx>
          <c:invertIfNegative val="0"/>
          <c:cat>
            <c:strRef>
              <c:f>Sheet1!$A$2:$A$13</c:f>
              <c:strCache>
                <c:ptCount val="12"/>
                <c:pt idx="0">
                  <c:v>Mathematics (n=902)</c:v>
                </c:pt>
                <c:pt idx="1">
                  <c:v>Medicine (n=263)</c:v>
                </c:pt>
                <c:pt idx="2">
                  <c:v>Psychology (n=168)</c:v>
                </c:pt>
                <c:pt idx="3">
                  <c:v>Geography (n=179)</c:v>
                </c:pt>
                <c:pt idx="4">
                  <c:v>Architecture (n=37)</c:v>
                </c:pt>
                <c:pt idx="5">
                  <c:v>Computer Science (n=124)</c:v>
                </c:pt>
                <c:pt idx="6">
                  <c:v>Bioscience (n=361)</c:v>
                </c:pt>
                <c:pt idx="7">
                  <c:v>Physics (n=486)</c:v>
                </c:pt>
                <c:pt idx="8">
                  <c:v>Chemistry (n=326)</c:v>
                </c:pt>
                <c:pt idx="9">
                  <c:v>Economics (n=228)</c:v>
                </c:pt>
                <c:pt idx="10">
                  <c:v>Business (n=98)</c:v>
                </c:pt>
                <c:pt idx="11">
                  <c:v>Engineering (n=445)</c:v>
                </c:pt>
              </c:strCache>
            </c:strRef>
          </c:cat>
          <c:val>
            <c:numRef>
              <c:f>Sheet1!$C$2:$C$13</c:f>
              <c:numCache>
                <c:formatCode>General</c:formatCode>
                <c:ptCount val="12"/>
                <c:pt idx="0">
                  <c:v>262</c:v>
                </c:pt>
                <c:pt idx="1">
                  <c:v>87</c:v>
                </c:pt>
                <c:pt idx="2">
                  <c:v>42</c:v>
                </c:pt>
                <c:pt idx="3">
                  <c:v>49</c:v>
                </c:pt>
                <c:pt idx="4">
                  <c:v>8</c:v>
                </c:pt>
                <c:pt idx="5">
                  <c:v>26</c:v>
                </c:pt>
                <c:pt idx="6">
                  <c:v>75</c:v>
                </c:pt>
                <c:pt idx="7">
                  <c:v>86</c:v>
                </c:pt>
                <c:pt idx="8">
                  <c:v>49</c:v>
                </c:pt>
                <c:pt idx="9">
                  <c:v>28</c:v>
                </c:pt>
                <c:pt idx="10">
                  <c:v>15</c:v>
                </c:pt>
                <c:pt idx="11">
                  <c:v>57</c:v>
                </c:pt>
              </c:numCache>
            </c:numRef>
          </c:val>
        </c:ser>
        <c:ser>
          <c:idx val="2"/>
          <c:order val="2"/>
          <c:tx>
            <c:strRef>
              <c:f>Sheet1!$D$1</c:f>
              <c:strCache>
                <c:ptCount val="1"/>
                <c:pt idx="0">
                  <c:v>Bad Preparation</c:v>
                </c:pt>
              </c:strCache>
            </c:strRef>
          </c:tx>
          <c:invertIfNegative val="0"/>
          <c:cat>
            <c:strRef>
              <c:f>Sheet1!$A$2:$A$13</c:f>
              <c:strCache>
                <c:ptCount val="12"/>
                <c:pt idx="0">
                  <c:v>Mathematics (n=902)</c:v>
                </c:pt>
                <c:pt idx="1">
                  <c:v>Medicine (n=263)</c:v>
                </c:pt>
                <c:pt idx="2">
                  <c:v>Psychology (n=168)</c:v>
                </c:pt>
                <c:pt idx="3">
                  <c:v>Geography (n=179)</c:v>
                </c:pt>
                <c:pt idx="4">
                  <c:v>Architecture (n=37)</c:v>
                </c:pt>
                <c:pt idx="5">
                  <c:v>Computer Science (n=124)</c:v>
                </c:pt>
                <c:pt idx="6">
                  <c:v>Bioscience (n=361)</c:v>
                </c:pt>
                <c:pt idx="7">
                  <c:v>Physics (n=486)</c:v>
                </c:pt>
                <c:pt idx="8">
                  <c:v>Chemistry (n=326)</c:v>
                </c:pt>
                <c:pt idx="9">
                  <c:v>Economics (n=228)</c:v>
                </c:pt>
                <c:pt idx="10">
                  <c:v>Business (n=98)</c:v>
                </c:pt>
                <c:pt idx="11">
                  <c:v>Engineering (n=445)</c:v>
                </c:pt>
              </c:strCache>
            </c:strRef>
          </c:cat>
          <c:val>
            <c:numRef>
              <c:f>Sheet1!$D$2:$D$13</c:f>
              <c:numCache>
                <c:formatCode>General</c:formatCode>
                <c:ptCount val="12"/>
                <c:pt idx="0">
                  <c:v>82</c:v>
                </c:pt>
                <c:pt idx="1">
                  <c:v>4</c:v>
                </c:pt>
                <c:pt idx="2">
                  <c:v>6</c:v>
                </c:pt>
                <c:pt idx="3">
                  <c:v>2</c:v>
                </c:pt>
                <c:pt idx="4">
                  <c:v>1</c:v>
                </c:pt>
                <c:pt idx="5">
                  <c:v>4</c:v>
                </c:pt>
                <c:pt idx="6">
                  <c:v>10</c:v>
                </c:pt>
                <c:pt idx="7">
                  <c:v>16</c:v>
                </c:pt>
                <c:pt idx="8">
                  <c:v>8</c:v>
                </c:pt>
                <c:pt idx="9">
                  <c:v>10</c:v>
                </c:pt>
                <c:pt idx="10">
                  <c:v>1</c:v>
                </c:pt>
                <c:pt idx="11">
                  <c:v>4</c:v>
                </c:pt>
              </c:numCache>
            </c:numRef>
          </c:val>
        </c:ser>
        <c:dLbls>
          <c:showLegendKey val="0"/>
          <c:showVal val="0"/>
          <c:showCatName val="0"/>
          <c:showSerName val="0"/>
          <c:showPercent val="0"/>
          <c:showBubbleSize val="0"/>
        </c:dLbls>
        <c:gapWidth val="150"/>
        <c:overlap val="100"/>
        <c:axId val="117101696"/>
        <c:axId val="117103232"/>
      </c:barChart>
      <c:catAx>
        <c:axId val="117101696"/>
        <c:scaling>
          <c:orientation val="minMax"/>
        </c:scaling>
        <c:delete val="0"/>
        <c:axPos val="l"/>
        <c:majorTickMark val="out"/>
        <c:minorTickMark val="none"/>
        <c:tickLblPos val="nextTo"/>
        <c:crossAx val="117103232"/>
        <c:crosses val="autoZero"/>
        <c:auto val="1"/>
        <c:lblAlgn val="ctr"/>
        <c:lblOffset val="100"/>
        <c:noMultiLvlLbl val="0"/>
      </c:catAx>
      <c:valAx>
        <c:axId val="117103232"/>
        <c:scaling>
          <c:orientation val="minMax"/>
        </c:scaling>
        <c:delete val="0"/>
        <c:axPos val="b"/>
        <c:majorGridlines/>
        <c:numFmt formatCode="0%" sourceLinked="1"/>
        <c:majorTickMark val="out"/>
        <c:minorTickMark val="none"/>
        <c:tickLblPos val="nextTo"/>
        <c:crossAx val="117101696"/>
        <c:crosses val="autoZero"/>
        <c:crossBetween val="between"/>
      </c:valAx>
    </c:plotArea>
    <c:legend>
      <c:legendPos val="b"/>
      <c:overlay val="0"/>
    </c:legend>
    <c:plotVisOnly val="1"/>
    <c:dispBlanksAs val="gap"/>
    <c:showDLblsOverMax val="0"/>
  </c:chart>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Further Maths</a:t>
            </a:r>
          </a:p>
        </c:rich>
      </c:tx>
      <c:overlay val="0"/>
    </c:title>
    <c:autoTitleDeleted val="0"/>
    <c:plotArea>
      <c:layout/>
      <c:barChart>
        <c:barDir val="bar"/>
        <c:grouping val="percentStacked"/>
        <c:varyColors val="0"/>
        <c:ser>
          <c:idx val="0"/>
          <c:order val="0"/>
          <c:tx>
            <c:strRef>
              <c:f>Sheet1!$B$1</c:f>
              <c:strCache>
                <c:ptCount val="1"/>
                <c:pt idx="0">
                  <c:v>Good Preparation</c:v>
                </c:pt>
              </c:strCache>
            </c:strRef>
          </c:tx>
          <c:invertIfNegative val="0"/>
          <c:cat>
            <c:strRef>
              <c:f>Sheet1!$A$2:$A$13</c:f>
              <c:strCache>
                <c:ptCount val="12"/>
                <c:pt idx="0">
                  <c:v>Medicine (n=84)</c:v>
                </c:pt>
                <c:pt idx="1">
                  <c:v>Psychology (n=19)</c:v>
                </c:pt>
                <c:pt idx="2">
                  <c:v>Bioscience (n=54)</c:v>
                </c:pt>
                <c:pt idx="3">
                  <c:v>Geography (n=29)</c:v>
                </c:pt>
                <c:pt idx="4">
                  <c:v>Architecture (n=14)</c:v>
                </c:pt>
                <c:pt idx="5">
                  <c:v>Business (n=32)</c:v>
                </c:pt>
                <c:pt idx="6">
                  <c:v>Mathematics (n=920)</c:v>
                </c:pt>
                <c:pt idx="7">
                  <c:v>Economics (n=86)</c:v>
                </c:pt>
                <c:pt idx="8">
                  <c:v>Computer Science (n=58)</c:v>
                </c:pt>
                <c:pt idx="9">
                  <c:v>Chemistry (n=132)</c:v>
                </c:pt>
                <c:pt idx="10">
                  <c:v>Physics (n=301)</c:v>
                </c:pt>
                <c:pt idx="11">
                  <c:v>Engineering (n=207)</c:v>
                </c:pt>
              </c:strCache>
            </c:strRef>
          </c:cat>
          <c:val>
            <c:numRef>
              <c:f>Sheet1!$B$2:$B$13</c:f>
              <c:numCache>
                <c:formatCode>General</c:formatCode>
                <c:ptCount val="12"/>
                <c:pt idx="0">
                  <c:v>27</c:v>
                </c:pt>
                <c:pt idx="1">
                  <c:v>7</c:v>
                </c:pt>
                <c:pt idx="2">
                  <c:v>22</c:v>
                </c:pt>
                <c:pt idx="3">
                  <c:v>13</c:v>
                </c:pt>
                <c:pt idx="4">
                  <c:v>7</c:v>
                </c:pt>
                <c:pt idx="5">
                  <c:v>21</c:v>
                </c:pt>
                <c:pt idx="6">
                  <c:v>699</c:v>
                </c:pt>
                <c:pt idx="7">
                  <c:v>67</c:v>
                </c:pt>
                <c:pt idx="8">
                  <c:v>48</c:v>
                </c:pt>
                <c:pt idx="9">
                  <c:v>114</c:v>
                </c:pt>
                <c:pt idx="10">
                  <c:v>271</c:v>
                </c:pt>
                <c:pt idx="11">
                  <c:v>188</c:v>
                </c:pt>
              </c:numCache>
            </c:numRef>
          </c:val>
        </c:ser>
        <c:ser>
          <c:idx val="1"/>
          <c:order val="1"/>
          <c:tx>
            <c:strRef>
              <c:f>Sheet1!$C$1</c:f>
              <c:strCache>
                <c:ptCount val="1"/>
                <c:pt idx="0">
                  <c:v>Neither Good Nor Bad Preparation</c:v>
                </c:pt>
              </c:strCache>
            </c:strRef>
          </c:tx>
          <c:invertIfNegative val="0"/>
          <c:cat>
            <c:strRef>
              <c:f>Sheet1!$A$2:$A$13</c:f>
              <c:strCache>
                <c:ptCount val="12"/>
                <c:pt idx="0">
                  <c:v>Medicine (n=84)</c:v>
                </c:pt>
                <c:pt idx="1">
                  <c:v>Psychology (n=19)</c:v>
                </c:pt>
                <c:pt idx="2">
                  <c:v>Bioscience (n=54)</c:v>
                </c:pt>
                <c:pt idx="3">
                  <c:v>Geography (n=29)</c:v>
                </c:pt>
                <c:pt idx="4">
                  <c:v>Architecture (n=14)</c:v>
                </c:pt>
                <c:pt idx="5">
                  <c:v>Business (n=32)</c:v>
                </c:pt>
                <c:pt idx="6">
                  <c:v>Mathematics (n=920)</c:v>
                </c:pt>
                <c:pt idx="7">
                  <c:v>Economics (n=86)</c:v>
                </c:pt>
                <c:pt idx="8">
                  <c:v>Computer Science (n=58)</c:v>
                </c:pt>
                <c:pt idx="9">
                  <c:v>Chemistry (n=132)</c:v>
                </c:pt>
                <c:pt idx="10">
                  <c:v>Physics (n=301)</c:v>
                </c:pt>
                <c:pt idx="11">
                  <c:v>Engineering (n=207)</c:v>
                </c:pt>
              </c:strCache>
            </c:strRef>
          </c:cat>
          <c:val>
            <c:numRef>
              <c:f>Sheet1!$C$2:$C$13</c:f>
              <c:numCache>
                <c:formatCode>General</c:formatCode>
                <c:ptCount val="12"/>
                <c:pt idx="0">
                  <c:v>56</c:v>
                </c:pt>
                <c:pt idx="1">
                  <c:v>12</c:v>
                </c:pt>
                <c:pt idx="2">
                  <c:v>30</c:v>
                </c:pt>
                <c:pt idx="3">
                  <c:v>15</c:v>
                </c:pt>
                <c:pt idx="4">
                  <c:v>6</c:v>
                </c:pt>
                <c:pt idx="5">
                  <c:v>11</c:v>
                </c:pt>
                <c:pt idx="6">
                  <c:v>178</c:v>
                </c:pt>
                <c:pt idx="7">
                  <c:v>16</c:v>
                </c:pt>
                <c:pt idx="8">
                  <c:v>9</c:v>
                </c:pt>
                <c:pt idx="9">
                  <c:v>18</c:v>
                </c:pt>
                <c:pt idx="10">
                  <c:v>23</c:v>
                </c:pt>
                <c:pt idx="11">
                  <c:v>15</c:v>
                </c:pt>
              </c:numCache>
            </c:numRef>
          </c:val>
        </c:ser>
        <c:ser>
          <c:idx val="2"/>
          <c:order val="2"/>
          <c:tx>
            <c:strRef>
              <c:f>Sheet1!$D$1</c:f>
              <c:strCache>
                <c:ptCount val="1"/>
                <c:pt idx="0">
                  <c:v>Bad Preparation</c:v>
                </c:pt>
              </c:strCache>
            </c:strRef>
          </c:tx>
          <c:invertIfNegative val="0"/>
          <c:cat>
            <c:strRef>
              <c:f>Sheet1!$A$2:$A$13</c:f>
              <c:strCache>
                <c:ptCount val="12"/>
                <c:pt idx="0">
                  <c:v>Medicine (n=84)</c:v>
                </c:pt>
                <c:pt idx="1">
                  <c:v>Psychology (n=19)</c:v>
                </c:pt>
                <c:pt idx="2">
                  <c:v>Bioscience (n=54)</c:v>
                </c:pt>
                <c:pt idx="3">
                  <c:v>Geography (n=29)</c:v>
                </c:pt>
                <c:pt idx="4">
                  <c:v>Architecture (n=14)</c:v>
                </c:pt>
                <c:pt idx="5">
                  <c:v>Business (n=32)</c:v>
                </c:pt>
                <c:pt idx="6">
                  <c:v>Mathematics (n=920)</c:v>
                </c:pt>
                <c:pt idx="7">
                  <c:v>Economics (n=86)</c:v>
                </c:pt>
                <c:pt idx="8">
                  <c:v>Computer Science (n=58)</c:v>
                </c:pt>
                <c:pt idx="9">
                  <c:v>Chemistry (n=132)</c:v>
                </c:pt>
                <c:pt idx="10">
                  <c:v>Physics (n=301)</c:v>
                </c:pt>
                <c:pt idx="11">
                  <c:v>Engineering (n=207)</c:v>
                </c:pt>
              </c:strCache>
            </c:strRef>
          </c:cat>
          <c:val>
            <c:numRef>
              <c:f>Sheet1!$D$2:$D$13</c:f>
              <c:numCache>
                <c:formatCode>General</c:formatCode>
                <c:ptCount val="12"/>
                <c:pt idx="0">
                  <c:v>1</c:v>
                </c:pt>
                <c:pt idx="1">
                  <c:v>0</c:v>
                </c:pt>
                <c:pt idx="2">
                  <c:v>2</c:v>
                </c:pt>
                <c:pt idx="3">
                  <c:v>1</c:v>
                </c:pt>
                <c:pt idx="4">
                  <c:v>1</c:v>
                </c:pt>
                <c:pt idx="5">
                  <c:v>0</c:v>
                </c:pt>
                <c:pt idx="6">
                  <c:v>43</c:v>
                </c:pt>
                <c:pt idx="7">
                  <c:v>3</c:v>
                </c:pt>
                <c:pt idx="8">
                  <c:v>1</c:v>
                </c:pt>
                <c:pt idx="9">
                  <c:v>0</c:v>
                </c:pt>
                <c:pt idx="10">
                  <c:v>7</c:v>
                </c:pt>
                <c:pt idx="11">
                  <c:v>4</c:v>
                </c:pt>
              </c:numCache>
            </c:numRef>
          </c:val>
        </c:ser>
        <c:dLbls>
          <c:showLegendKey val="0"/>
          <c:showVal val="0"/>
          <c:showCatName val="0"/>
          <c:showSerName val="0"/>
          <c:showPercent val="0"/>
          <c:showBubbleSize val="0"/>
        </c:dLbls>
        <c:gapWidth val="150"/>
        <c:overlap val="100"/>
        <c:axId val="122638720"/>
        <c:axId val="122640256"/>
      </c:barChart>
      <c:catAx>
        <c:axId val="122638720"/>
        <c:scaling>
          <c:orientation val="minMax"/>
        </c:scaling>
        <c:delete val="0"/>
        <c:axPos val="l"/>
        <c:majorTickMark val="out"/>
        <c:minorTickMark val="none"/>
        <c:tickLblPos val="nextTo"/>
        <c:crossAx val="122640256"/>
        <c:crosses val="autoZero"/>
        <c:auto val="1"/>
        <c:lblAlgn val="ctr"/>
        <c:lblOffset val="100"/>
        <c:noMultiLvlLbl val="0"/>
      </c:catAx>
      <c:valAx>
        <c:axId val="122640256"/>
        <c:scaling>
          <c:orientation val="minMax"/>
        </c:scaling>
        <c:delete val="0"/>
        <c:axPos val="b"/>
        <c:majorGridlines/>
        <c:numFmt formatCode="0%" sourceLinked="1"/>
        <c:majorTickMark val="out"/>
        <c:minorTickMark val="none"/>
        <c:tickLblPos val="nextTo"/>
        <c:crossAx val="122638720"/>
        <c:crosses val="autoZero"/>
        <c:crossBetween val="between"/>
      </c:valAx>
    </c:plotArea>
    <c:legend>
      <c:legendPos val="b"/>
      <c:overlay val="0"/>
    </c:legend>
    <c:plotVisOnly val="1"/>
    <c:dispBlanksAs val="gap"/>
    <c:showDLblsOverMax val="0"/>
  </c:chart>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Sheet1!$B$1</c:f>
              <c:strCache>
                <c:ptCount val="1"/>
                <c:pt idx="0">
                  <c:v>Good Preparation</c:v>
                </c:pt>
              </c:strCache>
            </c:strRef>
          </c:tx>
          <c:invertIfNegative val="0"/>
          <c:cat>
            <c:strRef>
              <c:f>Sheet1!$A$2:$A$4</c:f>
              <c:strCache>
                <c:ptCount val="3"/>
                <c:pt idx="0">
                  <c:v>AEA 
(n=102)</c:v>
                </c:pt>
                <c:pt idx="1">
                  <c:v>MAT 
(n=139)</c:v>
                </c:pt>
                <c:pt idx="2">
                  <c:v>STEP 
(n=317)</c:v>
                </c:pt>
              </c:strCache>
            </c:strRef>
          </c:cat>
          <c:val>
            <c:numRef>
              <c:f>Sheet1!$B$2:$B$4</c:f>
              <c:numCache>
                <c:formatCode>General</c:formatCode>
                <c:ptCount val="3"/>
                <c:pt idx="0">
                  <c:v>43</c:v>
                </c:pt>
                <c:pt idx="1">
                  <c:v>70</c:v>
                </c:pt>
                <c:pt idx="2">
                  <c:v>258</c:v>
                </c:pt>
              </c:numCache>
            </c:numRef>
          </c:val>
        </c:ser>
        <c:ser>
          <c:idx val="1"/>
          <c:order val="1"/>
          <c:tx>
            <c:strRef>
              <c:f>Sheet1!$C$1</c:f>
              <c:strCache>
                <c:ptCount val="1"/>
                <c:pt idx="0">
                  <c:v>Neither Good Nor Bad Preparation</c:v>
                </c:pt>
              </c:strCache>
            </c:strRef>
          </c:tx>
          <c:invertIfNegative val="0"/>
          <c:cat>
            <c:strRef>
              <c:f>Sheet1!$A$2:$A$4</c:f>
              <c:strCache>
                <c:ptCount val="3"/>
                <c:pt idx="0">
                  <c:v>AEA 
(n=102)</c:v>
                </c:pt>
                <c:pt idx="1">
                  <c:v>MAT 
(n=139)</c:v>
                </c:pt>
                <c:pt idx="2">
                  <c:v>STEP 
(n=317)</c:v>
                </c:pt>
              </c:strCache>
            </c:strRef>
          </c:cat>
          <c:val>
            <c:numRef>
              <c:f>Sheet1!$C$2:$C$4</c:f>
              <c:numCache>
                <c:formatCode>General</c:formatCode>
                <c:ptCount val="3"/>
                <c:pt idx="0">
                  <c:v>53</c:v>
                </c:pt>
                <c:pt idx="1">
                  <c:v>55</c:v>
                </c:pt>
                <c:pt idx="2">
                  <c:v>50</c:v>
                </c:pt>
              </c:numCache>
            </c:numRef>
          </c:val>
        </c:ser>
        <c:ser>
          <c:idx val="2"/>
          <c:order val="2"/>
          <c:tx>
            <c:strRef>
              <c:f>Sheet1!$D$1</c:f>
              <c:strCache>
                <c:ptCount val="1"/>
                <c:pt idx="0">
                  <c:v>Bad Preparation</c:v>
                </c:pt>
              </c:strCache>
            </c:strRef>
          </c:tx>
          <c:invertIfNegative val="0"/>
          <c:cat>
            <c:strRef>
              <c:f>Sheet1!$A$2:$A$4</c:f>
              <c:strCache>
                <c:ptCount val="3"/>
                <c:pt idx="0">
                  <c:v>AEA 
(n=102)</c:v>
                </c:pt>
                <c:pt idx="1">
                  <c:v>MAT 
(n=139)</c:v>
                </c:pt>
                <c:pt idx="2">
                  <c:v>STEP 
(n=317)</c:v>
                </c:pt>
              </c:strCache>
            </c:strRef>
          </c:cat>
          <c:val>
            <c:numRef>
              <c:f>Sheet1!$D$2:$D$4</c:f>
              <c:numCache>
                <c:formatCode>General</c:formatCode>
                <c:ptCount val="3"/>
                <c:pt idx="0">
                  <c:v>6</c:v>
                </c:pt>
                <c:pt idx="1">
                  <c:v>14</c:v>
                </c:pt>
                <c:pt idx="2">
                  <c:v>9</c:v>
                </c:pt>
              </c:numCache>
            </c:numRef>
          </c:val>
        </c:ser>
        <c:dLbls>
          <c:showLegendKey val="0"/>
          <c:showVal val="0"/>
          <c:showCatName val="0"/>
          <c:showSerName val="0"/>
          <c:showPercent val="0"/>
          <c:showBubbleSize val="0"/>
        </c:dLbls>
        <c:gapWidth val="150"/>
        <c:overlap val="100"/>
        <c:axId val="123284864"/>
        <c:axId val="123299328"/>
      </c:barChart>
      <c:catAx>
        <c:axId val="123284864"/>
        <c:scaling>
          <c:orientation val="minMax"/>
        </c:scaling>
        <c:delete val="0"/>
        <c:axPos val="b"/>
        <c:title>
          <c:tx>
            <c:rich>
              <a:bodyPr/>
              <a:lstStyle/>
              <a:p>
                <a:pPr>
                  <a:defRPr/>
                </a:pPr>
                <a:r>
                  <a:rPr lang="en-GB"/>
                  <a:t>Extension paper</a:t>
                </a:r>
              </a:p>
            </c:rich>
          </c:tx>
          <c:overlay val="0"/>
        </c:title>
        <c:majorTickMark val="out"/>
        <c:minorTickMark val="none"/>
        <c:tickLblPos val="nextTo"/>
        <c:crossAx val="123299328"/>
        <c:crosses val="autoZero"/>
        <c:auto val="1"/>
        <c:lblAlgn val="ctr"/>
        <c:lblOffset val="100"/>
        <c:noMultiLvlLbl val="0"/>
      </c:catAx>
      <c:valAx>
        <c:axId val="123299328"/>
        <c:scaling>
          <c:orientation val="minMax"/>
        </c:scaling>
        <c:delete val="0"/>
        <c:axPos val="l"/>
        <c:majorGridlines/>
        <c:title>
          <c:tx>
            <c:rich>
              <a:bodyPr rot="-5400000" vert="horz"/>
              <a:lstStyle/>
              <a:p>
                <a:pPr>
                  <a:defRPr/>
                </a:pPr>
                <a:r>
                  <a:rPr lang="en-GB"/>
                  <a:t>Proportion of participants</a:t>
                </a:r>
              </a:p>
            </c:rich>
          </c:tx>
          <c:overlay val="0"/>
        </c:title>
        <c:numFmt formatCode="0%" sourceLinked="1"/>
        <c:majorTickMark val="out"/>
        <c:minorTickMark val="none"/>
        <c:tickLblPos val="nextTo"/>
        <c:crossAx val="123284864"/>
        <c:crosses val="autoZero"/>
        <c:crossBetween val="between"/>
      </c:valAx>
    </c:plotArea>
    <c:legend>
      <c:legendPos val="b"/>
      <c:overlay val="0"/>
    </c:legend>
    <c:plotVisOnly val="1"/>
    <c:dispBlanksAs val="gap"/>
    <c:showDLblsOverMax val="0"/>
  </c:chart>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2591</Words>
  <Characters>14772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Darlington</dc:creator>
  <cp:lastModifiedBy>Lizzi Lake</cp:lastModifiedBy>
  <cp:revision>2</cp:revision>
  <dcterms:created xsi:type="dcterms:W3CDTF">2017-06-15T13:27:00Z</dcterms:created>
  <dcterms:modified xsi:type="dcterms:W3CDTF">2017-06-15T13:27:00Z</dcterms:modified>
</cp:coreProperties>
</file>